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2" w:firstLineChars="200"/>
        <w:jc w:val="center"/>
        <w:rPr>
          <w:rFonts w:hint="eastAsia"/>
          <w:b/>
          <w:bCs/>
          <w:sz w:val="30"/>
          <w:szCs w:val="30"/>
          <w:lang w:eastAsia="zh-CN"/>
        </w:rPr>
      </w:pPr>
      <w:r>
        <w:rPr>
          <w:rFonts w:hint="eastAsia"/>
          <w:b/>
          <w:bCs/>
          <w:sz w:val="30"/>
          <w:szCs w:val="30"/>
          <w:lang w:eastAsia="zh-CN"/>
        </w:rPr>
        <w:t>额叶皮层和基底神经节抑制控制的计算模型（</w:t>
      </w:r>
      <w:r>
        <w:rPr>
          <w:rFonts w:hint="eastAsia"/>
          <w:b/>
          <w:bCs/>
          <w:sz w:val="30"/>
          <w:szCs w:val="30"/>
          <w:lang w:val="en-US" w:eastAsia="zh-CN"/>
        </w:rPr>
        <w:t>Frank模型</w:t>
      </w:r>
      <w:r>
        <w:rPr>
          <w:rFonts w:hint="eastAsia"/>
          <w:b/>
          <w:bCs/>
          <w:sz w:val="30"/>
          <w:szCs w:val="30"/>
          <w:lang w:eastAsia="zh-CN"/>
        </w:rPr>
        <w:t>）</w:t>
      </w:r>
    </w:p>
    <w:p>
      <w:pPr>
        <w:ind w:firstLine="422" w:firstLineChars="200"/>
        <w:rPr>
          <w:rFonts w:hint="eastAsia"/>
        </w:rPr>
      </w:pPr>
      <w:r>
        <w:rPr>
          <w:rFonts w:hint="eastAsia"/>
          <w:b/>
          <w:bCs/>
          <w:lang w:val="en-US" w:eastAsia="zh-CN"/>
        </w:rPr>
        <w:t>摘要</w:t>
      </w:r>
      <w:r>
        <w:rPr>
          <w:rFonts w:hint="eastAsia"/>
          <w:lang w:val="en-US" w:eastAsia="zh-CN"/>
        </w:rPr>
        <w:t>：</w:t>
      </w:r>
      <w:r>
        <w:rPr>
          <w:rFonts w:hint="eastAsia"/>
        </w:rPr>
        <w:t>规划和执行</w:t>
      </w:r>
      <w:r>
        <w:rPr>
          <w:rFonts w:hint="eastAsia"/>
          <w:lang w:val="en-US" w:eastAsia="zh-CN"/>
        </w:rPr>
        <w:t>是人类</w:t>
      </w:r>
      <w:r>
        <w:rPr>
          <w:rFonts w:hint="eastAsia"/>
        </w:rPr>
        <w:t>面对冲突的</w:t>
      </w:r>
      <w:r>
        <w:rPr>
          <w:rFonts w:hint="eastAsia"/>
          <w:lang w:val="en-US" w:eastAsia="zh-CN"/>
        </w:rPr>
        <w:t>正常反应，这也</w:t>
      </w:r>
      <w:r>
        <w:rPr>
          <w:rFonts w:hint="eastAsia"/>
        </w:rPr>
        <w:t>是人类行为的一个重要方面。这两个控制系统之间相互作用的核心是一个覆盖机制，</w:t>
      </w:r>
      <w:r>
        <w:rPr>
          <w:rFonts w:hint="eastAsia"/>
          <w:lang w:val="en-US" w:eastAsia="zh-CN"/>
        </w:rPr>
        <w:t>其</w:t>
      </w:r>
      <w:r>
        <w:rPr>
          <w:rFonts w:hint="eastAsia"/>
        </w:rPr>
        <w:t>可以抑制习惯性的</w:t>
      </w:r>
      <w:r>
        <w:rPr>
          <w:rFonts w:hint="eastAsia"/>
          <w:lang w:val="en-US" w:eastAsia="zh-CN"/>
        </w:rPr>
        <w:t>行为</w:t>
      </w:r>
      <w:r>
        <w:rPr>
          <w:rFonts w:hint="eastAsia"/>
        </w:rPr>
        <w:t>选择过程，并允许执行</w:t>
      </w:r>
      <w:r>
        <w:rPr>
          <w:rFonts w:hint="eastAsia"/>
          <w:lang w:val="en-US" w:eastAsia="zh-CN"/>
        </w:rPr>
        <w:t>控制主导</w:t>
      </w:r>
      <w:r>
        <w:rPr>
          <w:rFonts w:hint="eastAsia"/>
        </w:rPr>
        <w:t>。在这里，</w:t>
      </w:r>
      <w:r>
        <w:rPr>
          <w:rFonts w:hint="eastAsia"/>
          <w:lang w:val="en-US" w:eastAsia="zh-CN"/>
        </w:rPr>
        <w:t>文章利用</w:t>
      </w:r>
      <w:r>
        <w:rPr>
          <w:rFonts w:hint="eastAsia"/>
        </w:rPr>
        <w:t>各种</w:t>
      </w:r>
      <w:r>
        <w:rPr>
          <w:rFonts w:hint="eastAsia"/>
          <w:lang w:eastAsia="zh-CN"/>
        </w:rPr>
        <w:t>响应</w:t>
      </w:r>
      <w:r>
        <w:rPr>
          <w:rFonts w:hint="eastAsia"/>
        </w:rPr>
        <w:t>抑制范例收集的行为和电生理数据，构建</w:t>
      </w:r>
      <w:r>
        <w:rPr>
          <w:rFonts w:hint="eastAsia"/>
          <w:lang w:val="en-US" w:eastAsia="zh-CN"/>
        </w:rPr>
        <w:t>了</w:t>
      </w:r>
      <w:r>
        <w:rPr>
          <w:rFonts w:hint="eastAsia"/>
        </w:rPr>
        <w:t>一个神经回路模型。模型</w:t>
      </w:r>
      <w:r>
        <w:rPr>
          <w:rFonts w:hint="eastAsia"/>
          <w:lang w:val="en-US" w:eastAsia="zh-CN"/>
        </w:rPr>
        <w:t>中加入了</w:t>
      </w:r>
      <w:r>
        <w:rPr>
          <w:rFonts w:hint="eastAsia"/>
        </w:rPr>
        <w:t>一个</w:t>
      </w:r>
      <w:r>
        <w:rPr>
          <w:rFonts w:hint="eastAsia"/>
          <w:lang w:val="en-US" w:eastAsia="zh-CN"/>
        </w:rPr>
        <w:t>额叶</w:t>
      </w:r>
      <w:r>
        <w:rPr>
          <w:rFonts w:hint="eastAsia"/>
        </w:rPr>
        <w:t>执行控制网络</w:t>
      </w:r>
      <w:r>
        <w:rPr>
          <w:rFonts w:hint="eastAsia"/>
          <w:lang w:eastAsia="zh-CN"/>
        </w:rPr>
        <w:t>，</w:t>
      </w:r>
      <w:r>
        <w:rPr>
          <w:rFonts w:hint="eastAsia"/>
          <w:lang w:val="en-US" w:eastAsia="zh-CN"/>
        </w:rPr>
        <w:t>从而</w:t>
      </w:r>
      <w:r>
        <w:rPr>
          <w:rFonts w:hint="eastAsia"/>
        </w:rPr>
        <w:t>扩展了基础神经节中动作选择模型</w:t>
      </w:r>
      <w:r>
        <w:rPr>
          <w:rFonts w:hint="eastAsia"/>
          <w:lang w:eastAsia="zh-CN"/>
        </w:rPr>
        <w:t>。</w:t>
      </w:r>
      <w:r>
        <w:rPr>
          <w:rFonts w:hint="eastAsia"/>
          <w:lang w:val="en-US" w:eastAsia="zh-CN"/>
        </w:rPr>
        <w:t>额叶</w:t>
      </w:r>
      <w:r>
        <w:rPr>
          <w:rFonts w:hint="eastAsia"/>
        </w:rPr>
        <w:t>执行控制网络整合了</w:t>
      </w:r>
      <w:r>
        <w:rPr>
          <w:rFonts w:hint="eastAsia"/>
          <w:lang w:val="en-US" w:eastAsia="zh-CN"/>
        </w:rPr>
        <w:t>传感</w:t>
      </w:r>
      <w:r>
        <w:rPr>
          <w:rFonts w:hint="eastAsia"/>
        </w:rPr>
        <w:t>输入和</w:t>
      </w:r>
      <w:r>
        <w:rPr>
          <w:rFonts w:hint="eastAsia"/>
          <w:lang w:eastAsia="zh-CN"/>
        </w:rPr>
        <w:t>任务</w:t>
      </w:r>
      <w:r>
        <w:rPr>
          <w:rFonts w:hint="eastAsia"/>
        </w:rPr>
        <w:t>规则的信息，以促进动眼神经系统做出</w:t>
      </w:r>
      <w:r>
        <w:rPr>
          <w:rFonts w:hint="eastAsia"/>
          <w:lang w:val="en-US" w:eastAsia="zh-CN"/>
        </w:rPr>
        <w:t>正确</w:t>
      </w:r>
      <w:r>
        <w:rPr>
          <w:rFonts w:hint="eastAsia"/>
        </w:rPr>
        <w:t>的决策。</w:t>
      </w:r>
      <w:r>
        <w:rPr>
          <w:rFonts w:hint="eastAsia"/>
          <w:lang w:val="en-US" w:eastAsia="zh-CN"/>
        </w:rPr>
        <w:t>在对反</w:t>
      </w:r>
      <w:r>
        <w:rPr>
          <w:rFonts w:hint="eastAsia"/>
        </w:rPr>
        <w:t>扫视，Simon和扫视覆盖</w:t>
      </w:r>
      <w:r>
        <w:rPr>
          <w:rFonts w:hint="eastAsia"/>
          <w:lang w:val="en-US" w:eastAsia="zh-CN"/>
        </w:rPr>
        <w:t>等</w:t>
      </w:r>
      <w:r>
        <w:rPr>
          <w:rFonts w:hint="eastAsia"/>
          <w:lang w:eastAsia="zh-CN"/>
        </w:rPr>
        <w:t>任务</w:t>
      </w:r>
      <w:r>
        <w:rPr>
          <w:rFonts w:hint="eastAsia"/>
        </w:rPr>
        <w:t>的模拟</w:t>
      </w:r>
      <w:r>
        <w:rPr>
          <w:rFonts w:hint="eastAsia"/>
          <w:lang w:val="en-US" w:eastAsia="zh-CN"/>
        </w:rPr>
        <w:t>过程中，由于习惯性行为</w:t>
      </w:r>
      <w:r>
        <w:rPr>
          <w:rFonts w:hint="eastAsia"/>
        </w:rPr>
        <w:t>和受控响应之间的冲突，网络通过投射到丘脑底核来暂停动作选择</w:t>
      </w:r>
      <w:r>
        <w:rPr>
          <w:rFonts w:hint="eastAsia"/>
          <w:lang w:val="en-US" w:eastAsia="zh-CN"/>
        </w:rPr>
        <w:t>过程</w:t>
      </w:r>
      <w:r>
        <w:rPr>
          <w:rFonts w:hint="eastAsia"/>
        </w:rPr>
        <w:t>。</w:t>
      </w:r>
      <w:r>
        <w:rPr>
          <w:rFonts w:hint="eastAsia"/>
          <w:lang w:eastAsia="zh-CN"/>
        </w:rPr>
        <w:t>文中</w:t>
      </w:r>
      <w:r>
        <w:rPr>
          <w:rFonts w:hint="eastAsia"/>
        </w:rPr>
        <w:t>的模型再现了关键的行为和电生理模式及其对病变和药理学操作的敏感性。最后，</w:t>
      </w:r>
      <w:r>
        <w:rPr>
          <w:rFonts w:hint="eastAsia"/>
          <w:lang w:val="en-US" w:eastAsia="zh-CN"/>
        </w:rPr>
        <w:t>文章</w:t>
      </w:r>
      <w:r>
        <w:rPr>
          <w:rFonts w:hint="eastAsia"/>
        </w:rPr>
        <w:t>展示了如何</w:t>
      </w:r>
      <w:r>
        <w:rPr>
          <w:rFonts w:hint="eastAsia"/>
          <w:lang w:val="en-US" w:eastAsia="zh-CN"/>
        </w:rPr>
        <w:t>将</w:t>
      </w:r>
      <w:r>
        <w:rPr>
          <w:rFonts w:hint="eastAsia"/>
        </w:rPr>
        <w:t>该网络扩展</w:t>
      </w:r>
      <w:r>
        <w:rPr>
          <w:rFonts w:hint="eastAsia"/>
          <w:lang w:val="en-US" w:eastAsia="zh-CN"/>
        </w:rPr>
        <w:t>到</w:t>
      </w:r>
      <w:r>
        <w:rPr>
          <w:rFonts w:hint="eastAsia"/>
        </w:rPr>
        <w:t>下额叶皮层，以模拟停止信号</w:t>
      </w:r>
      <w:r>
        <w:rPr>
          <w:rFonts w:hint="eastAsia"/>
          <w:lang w:eastAsia="zh-CN"/>
        </w:rPr>
        <w:t>任务</w:t>
      </w:r>
      <w:r>
        <w:rPr>
          <w:rFonts w:hint="eastAsia"/>
        </w:rPr>
        <w:t>中所需的全局响应抑制需求的关键定性模式。</w:t>
      </w:r>
    </w:p>
    <w:p>
      <w:pPr>
        <w:rPr>
          <w:rFonts w:hint="eastAsia"/>
        </w:rPr>
      </w:pPr>
    </w:p>
    <w:p>
      <w:pPr>
        <w:rPr>
          <w:rFonts w:hint="eastAsia"/>
        </w:rPr>
      </w:pPr>
      <w:r>
        <w:rPr>
          <w:rFonts w:hint="eastAsia"/>
          <w:b/>
          <w:bCs/>
        </w:rPr>
        <w:t>关键词</w:t>
      </w:r>
      <w:r>
        <w:rPr>
          <w:rFonts w:hint="eastAsia"/>
        </w:rPr>
        <w:t>：</w:t>
      </w:r>
      <w:r>
        <w:rPr>
          <w:rFonts w:hint="eastAsia"/>
          <w:lang w:eastAsia="zh-CN"/>
        </w:rPr>
        <w:t>响应</w:t>
      </w:r>
      <w:r>
        <w:rPr>
          <w:rFonts w:hint="eastAsia"/>
        </w:rPr>
        <w:t>抑制，神经网络模型，认知控制，前额叶皮层，基底神经节</w:t>
      </w:r>
    </w:p>
    <w:p>
      <w:pPr>
        <w:rPr>
          <w:rFonts w:hint="eastAsia"/>
        </w:rPr>
      </w:pPr>
    </w:p>
    <w:p>
      <w:pPr>
        <w:rPr>
          <w:rFonts w:hint="eastAsia" w:eastAsiaTheme="minorEastAsia"/>
          <w:lang w:val="en-US" w:eastAsia="zh-CN"/>
        </w:rPr>
      </w:pPr>
      <w:r>
        <w:rPr>
          <w:rFonts w:hint="eastAsia"/>
          <w:b/>
          <w:bCs/>
          <w:lang w:val="en-US" w:eastAsia="zh-CN"/>
        </w:rPr>
        <w:t>引言</w:t>
      </w:r>
    </w:p>
    <w:p>
      <w:pPr>
        <w:ind w:firstLine="420" w:firstLineChars="200"/>
        <w:rPr>
          <w:rFonts w:hint="eastAsia"/>
        </w:rPr>
      </w:pPr>
      <w:r>
        <w:rPr>
          <w:rFonts w:hint="eastAsia"/>
        </w:rPr>
        <w:t>作为这项工作的一部分，存在许多根据</w:t>
      </w:r>
      <w:r>
        <w:rPr>
          <w:rFonts w:hint="eastAsia"/>
          <w:lang w:val="en-US" w:eastAsia="zh-CN"/>
        </w:rPr>
        <w:t>实验数据</w:t>
      </w:r>
      <w:r>
        <w:rPr>
          <w:rFonts w:hint="eastAsia"/>
        </w:rPr>
        <w:t>研究响应抑制的</w:t>
      </w:r>
      <w:r>
        <w:rPr>
          <w:rFonts w:hint="eastAsia"/>
          <w:lang w:eastAsia="zh-CN"/>
        </w:rPr>
        <w:t>任务</w:t>
      </w:r>
      <w:r>
        <w:rPr>
          <w:rFonts w:hint="eastAsia"/>
        </w:rPr>
        <w:t>。被认为需要选择性响应抑制的</w:t>
      </w:r>
      <w:r>
        <w:rPr>
          <w:rFonts w:hint="eastAsia"/>
          <w:lang w:eastAsia="zh-CN"/>
        </w:rPr>
        <w:t>任务</w:t>
      </w:r>
      <w:r>
        <w:rPr>
          <w:rFonts w:hint="eastAsia"/>
        </w:rPr>
        <w:t>包括反扫视</w:t>
      </w:r>
      <w:r>
        <w:rPr>
          <w:rFonts w:hint="eastAsia"/>
          <w:lang w:eastAsia="zh-CN"/>
        </w:rPr>
        <w:t>任务</w:t>
      </w:r>
      <w:r>
        <w:rPr>
          <w:rFonts w:hint="eastAsia"/>
        </w:rPr>
        <w:t>，Simon</w:t>
      </w:r>
      <w:r>
        <w:rPr>
          <w:rFonts w:hint="eastAsia"/>
          <w:lang w:eastAsia="zh-CN"/>
        </w:rPr>
        <w:t>任务</w:t>
      </w:r>
      <w:r>
        <w:rPr>
          <w:rFonts w:hint="eastAsia"/>
        </w:rPr>
        <w:t>和扫视覆盖</w:t>
      </w:r>
      <w:r>
        <w:rPr>
          <w:rFonts w:hint="eastAsia"/>
          <w:lang w:eastAsia="zh-CN"/>
        </w:rPr>
        <w:t>任务</w:t>
      </w:r>
      <w:r>
        <w:rPr>
          <w:rFonts w:hint="eastAsia"/>
        </w:rPr>
        <w:t>。这些</w:t>
      </w:r>
      <w:r>
        <w:rPr>
          <w:rFonts w:hint="eastAsia"/>
          <w:lang w:eastAsia="zh-CN"/>
        </w:rPr>
        <w:t>任务</w:t>
      </w:r>
      <w:r>
        <w:rPr>
          <w:rFonts w:hint="eastAsia"/>
        </w:rPr>
        <w:t>都会产生一种优先响应</w:t>
      </w:r>
      <w:r>
        <w:rPr>
          <w:rFonts w:hint="eastAsia"/>
          <w:lang w:val="en-US" w:eastAsia="zh-CN"/>
        </w:rPr>
        <w:t>偏置</w:t>
      </w:r>
      <w:r>
        <w:rPr>
          <w:rFonts w:hint="eastAsia"/>
        </w:rPr>
        <w:t>，有时需要</w:t>
      </w:r>
      <w:r>
        <w:rPr>
          <w:rFonts w:hint="eastAsia"/>
          <w:lang w:val="en-US" w:eastAsia="zh-CN"/>
        </w:rPr>
        <w:t>被</w:t>
      </w:r>
      <w:r>
        <w:rPr>
          <w:rFonts w:hint="eastAsia"/>
        </w:rPr>
        <w:t>基于执行控制</w:t>
      </w:r>
      <w:r>
        <w:rPr>
          <w:rFonts w:hint="eastAsia"/>
          <w:lang w:val="en-US" w:eastAsia="zh-CN"/>
        </w:rPr>
        <w:t>的</w:t>
      </w:r>
      <w:r>
        <w:rPr>
          <w:rFonts w:hint="eastAsia"/>
        </w:rPr>
        <w:t>控制响应</w:t>
      </w:r>
      <w:r>
        <w:rPr>
          <w:rFonts w:hint="eastAsia"/>
          <w:lang w:val="en-US" w:eastAsia="zh-CN"/>
        </w:rPr>
        <w:t>所覆盖</w:t>
      </w:r>
      <w:r>
        <w:rPr>
          <w:rFonts w:hint="eastAsia"/>
        </w:rPr>
        <w:t>。例如，反扫视</w:t>
      </w:r>
      <w:r>
        <w:rPr>
          <w:rFonts w:hint="eastAsia"/>
          <w:lang w:eastAsia="zh-CN"/>
        </w:rPr>
        <w:t>任务</w:t>
      </w:r>
      <w:r>
        <w:rPr>
          <w:rFonts w:hint="eastAsia"/>
        </w:rPr>
        <w:t>要求受试者在出现的刺激的相反方向上扫视。Simon</w:t>
      </w:r>
      <w:r>
        <w:rPr>
          <w:rFonts w:hint="eastAsia"/>
          <w:lang w:eastAsia="zh-CN"/>
        </w:rPr>
        <w:t>任务</w:t>
      </w:r>
      <w:r>
        <w:rPr>
          <w:rFonts w:hint="eastAsia"/>
        </w:rPr>
        <w:t>要求受试者根据任意刺激</w:t>
      </w:r>
      <w:r>
        <w:rPr>
          <w:rFonts w:hint="eastAsia"/>
          <w:lang w:eastAsia="zh-CN"/>
        </w:rPr>
        <w:t>响应</w:t>
      </w:r>
      <w:r>
        <w:rPr>
          <w:rFonts w:hint="eastAsia"/>
        </w:rPr>
        <w:t>规则进行响应（例如，根据刺激颜色向左或向右响应），但是</w:t>
      </w:r>
      <w:r>
        <w:rPr>
          <w:rFonts w:hint="eastAsia"/>
          <w:lang w:val="en-US" w:eastAsia="zh-CN"/>
        </w:rPr>
        <w:t>在</w:t>
      </w:r>
      <w:r>
        <w:rPr>
          <w:rFonts w:hint="eastAsia"/>
        </w:rPr>
        <w:t>刺激呈现在屏幕一侧的情况下，</w:t>
      </w:r>
      <w:r>
        <w:rPr>
          <w:rFonts w:hint="eastAsia"/>
          <w:lang w:val="en-US" w:eastAsia="zh-CN"/>
        </w:rPr>
        <w:t>会</w:t>
      </w:r>
      <w:r>
        <w:rPr>
          <w:rFonts w:hint="eastAsia"/>
        </w:rPr>
        <w:t>诱导</w:t>
      </w:r>
      <w:r>
        <w:rPr>
          <w:rFonts w:hint="eastAsia"/>
          <w:lang w:val="en-US" w:eastAsia="zh-CN"/>
        </w:rPr>
        <w:t>受试者</w:t>
      </w:r>
      <w:r>
        <w:rPr>
          <w:rFonts w:hint="eastAsia"/>
        </w:rPr>
        <w:t>对该侧的优先响应</w:t>
      </w:r>
      <w:r>
        <w:rPr>
          <w:rFonts w:hint="eastAsia"/>
          <w:lang w:val="en-US" w:eastAsia="zh-CN"/>
        </w:rPr>
        <w:t>偏置</w:t>
      </w:r>
      <w:r>
        <w:rPr>
          <w:rFonts w:hint="eastAsia"/>
        </w:rPr>
        <w:t>。在一致性试验中，刺激与规则所指示的正确</w:t>
      </w:r>
      <w:r>
        <w:rPr>
          <w:rFonts w:hint="eastAsia"/>
          <w:lang w:eastAsia="zh-CN"/>
        </w:rPr>
        <w:t>响应</w:t>
      </w:r>
      <w:r>
        <w:rPr>
          <w:rFonts w:hint="eastAsia"/>
        </w:rPr>
        <w:t>呈现在同一侧，而在不一致的试验中则是相反的。最后，扫视覆盖</w:t>
      </w:r>
      <w:r>
        <w:rPr>
          <w:rFonts w:hint="eastAsia"/>
          <w:lang w:eastAsia="zh-CN"/>
        </w:rPr>
        <w:t>任务</w:t>
      </w:r>
      <w:r>
        <w:rPr>
          <w:rFonts w:hint="eastAsia"/>
        </w:rPr>
        <w:t>（Isoda＆Hikosaka，2007）要求受试者在连续</w:t>
      </w:r>
      <w:r>
        <w:rPr>
          <w:rFonts w:hint="eastAsia"/>
          <w:lang w:val="en-US" w:eastAsia="zh-CN"/>
        </w:rPr>
        <w:t>实验中向</w:t>
      </w:r>
      <w:r>
        <w:rPr>
          <w:rFonts w:hint="eastAsia"/>
        </w:rPr>
        <w:t>特定颜色的刺激方向上扫视。在</w:t>
      </w:r>
      <w:r>
        <w:rPr>
          <w:rFonts w:hint="eastAsia"/>
          <w:lang w:val="en-US" w:eastAsia="zh-CN"/>
        </w:rPr>
        <w:t>不一致</w:t>
      </w:r>
      <w:r>
        <w:rPr>
          <w:rFonts w:hint="eastAsia"/>
        </w:rPr>
        <w:t>试验中，</w:t>
      </w:r>
      <w:r>
        <w:rPr>
          <w:rFonts w:hint="eastAsia"/>
          <w:lang w:val="en-US" w:eastAsia="zh-CN"/>
        </w:rPr>
        <w:t>初始目标的任务</w:t>
      </w:r>
      <w:r>
        <w:rPr>
          <w:rFonts w:hint="eastAsia"/>
        </w:rPr>
        <w:t>提示表明其他彩色刺激是现在</w:t>
      </w:r>
      <w:r>
        <w:rPr>
          <w:rFonts w:hint="eastAsia"/>
          <w:lang w:val="en-US" w:eastAsia="zh-CN"/>
        </w:rPr>
        <w:t>的</w:t>
      </w:r>
      <w:r>
        <w:rPr>
          <w:rFonts w:hint="eastAsia"/>
        </w:rPr>
        <w:t>目标，因此参与者必须</w:t>
      </w:r>
      <w:r>
        <w:rPr>
          <w:rFonts w:hint="eastAsia"/>
          <w:lang w:val="en-US" w:eastAsia="zh-CN"/>
        </w:rPr>
        <w:t>先扫视初始目标，进行</w:t>
      </w:r>
      <w:r>
        <w:rPr>
          <w:rFonts w:hint="eastAsia"/>
        </w:rPr>
        <w:t>响应并</w:t>
      </w:r>
      <w:r>
        <w:rPr>
          <w:rFonts w:hint="eastAsia"/>
          <w:lang w:val="en-US" w:eastAsia="zh-CN"/>
        </w:rPr>
        <w:t>转换</w:t>
      </w:r>
      <w:r>
        <w:rPr>
          <w:rFonts w:hint="eastAsia"/>
        </w:rPr>
        <w:t>到另一个</w:t>
      </w:r>
      <w:r>
        <w:rPr>
          <w:rFonts w:hint="eastAsia"/>
          <w:lang w:val="en-US" w:eastAsia="zh-CN"/>
        </w:rPr>
        <w:t>目标</w:t>
      </w:r>
      <w:r>
        <w:rPr>
          <w:rFonts w:hint="eastAsia"/>
        </w:rPr>
        <w:t>。虽然存在关键差异，但所有这些</w:t>
      </w:r>
      <w:r>
        <w:rPr>
          <w:rFonts w:hint="eastAsia"/>
          <w:lang w:eastAsia="zh-CN"/>
        </w:rPr>
        <w:t>任务</w:t>
      </w:r>
      <w:r>
        <w:rPr>
          <w:rFonts w:hint="eastAsia"/>
        </w:rPr>
        <w:t>都要求受试者抑制优先响应偏差</w:t>
      </w:r>
      <w:r>
        <w:rPr>
          <w:rFonts w:hint="eastAsia"/>
          <w:lang w:eastAsia="zh-CN"/>
        </w:rPr>
        <w:t>，</w:t>
      </w:r>
      <w:r>
        <w:rPr>
          <w:rFonts w:hint="eastAsia"/>
        </w:rPr>
        <w:t>并用</w:t>
      </w:r>
      <w:r>
        <w:rPr>
          <w:rFonts w:hint="eastAsia"/>
          <w:lang w:val="en-US" w:eastAsia="zh-CN"/>
        </w:rPr>
        <w:t>其他指定</w:t>
      </w:r>
      <w:r>
        <w:rPr>
          <w:rFonts w:hint="eastAsia"/>
          <w:lang w:eastAsia="zh-CN"/>
        </w:rPr>
        <w:t>响应</w:t>
      </w:r>
      <w:r>
        <w:rPr>
          <w:rFonts w:hint="eastAsia"/>
        </w:rPr>
        <w:t>代替。相反，停止信号</w:t>
      </w:r>
      <w:r>
        <w:rPr>
          <w:rFonts w:hint="eastAsia"/>
          <w:lang w:eastAsia="zh-CN"/>
        </w:rPr>
        <w:t>任务</w:t>
      </w:r>
      <w:r>
        <w:rPr>
          <w:rFonts w:hint="eastAsia"/>
        </w:rPr>
        <w:t>虽然也需要响应抑制，但</w:t>
      </w:r>
      <w:r>
        <w:rPr>
          <w:rFonts w:hint="eastAsia"/>
          <w:lang w:val="en-US" w:eastAsia="zh-CN"/>
        </w:rPr>
        <w:t>是</w:t>
      </w:r>
      <w:r>
        <w:rPr>
          <w:rFonts w:hint="eastAsia"/>
        </w:rPr>
        <w:t>不需要随后启动主动响应，而只需要抑制</w:t>
      </w:r>
      <w:r>
        <w:rPr>
          <w:rFonts w:hint="eastAsia"/>
          <w:lang w:val="en-US" w:eastAsia="zh-CN"/>
        </w:rPr>
        <w:t>初始目标</w:t>
      </w:r>
      <w:r>
        <w:rPr>
          <w:rFonts w:hint="eastAsia"/>
        </w:rPr>
        <w:t>的响应</w:t>
      </w:r>
      <w:r>
        <w:rPr>
          <w:rFonts w:hint="eastAsia"/>
          <w:lang w:val="en-US" w:eastAsia="zh-CN"/>
        </w:rPr>
        <w:t>即可</w:t>
      </w:r>
      <w:r>
        <w:rPr>
          <w:rFonts w:hint="eastAsia"/>
        </w:rPr>
        <w:t>（Verbruggen＆Logan，2008）。</w:t>
      </w:r>
    </w:p>
    <w:p>
      <w:pPr>
        <w:ind w:firstLine="420" w:firstLineChars="200"/>
        <w:rPr>
          <w:rFonts w:hint="eastAsia"/>
          <w:lang w:eastAsia="zh-CN"/>
        </w:rPr>
      </w:pPr>
      <w:r>
        <w:rPr>
          <w:rFonts w:hint="eastAsia"/>
          <w:lang w:eastAsia="zh-CN"/>
        </w:rPr>
        <w:t>电生理学和功能成像数据暗示</w:t>
      </w:r>
      <w:r>
        <w:rPr>
          <w:rFonts w:hint="eastAsia"/>
          <w:lang w:val="en-US" w:eastAsia="zh-CN"/>
        </w:rPr>
        <w:t>额叶</w:t>
      </w:r>
      <w:r>
        <w:rPr>
          <w:rFonts w:hint="eastAsia"/>
          <w:lang w:eastAsia="zh-CN"/>
        </w:rPr>
        <w:t>纹状体电路中的关键节点在响应抑制和执行控制期间是活跃的。在皮层水平，这些包括右</w:t>
      </w:r>
      <w:r>
        <w:rPr>
          <w:rFonts w:hint="eastAsia"/>
          <w:lang w:val="en-US" w:eastAsia="zh-CN"/>
        </w:rPr>
        <w:t>侧</w:t>
      </w:r>
      <w:r>
        <w:rPr>
          <w:rFonts w:hint="eastAsia"/>
          <w:lang w:eastAsia="zh-CN"/>
        </w:rPr>
        <w:t>额下回（rIFG; Aron，Fletcher，Bullmore，Sahakian，＆Robbins，2003; Chambers等，2007; Sakagami等，2001; Xue，Aron，＆Poldrack，2008），背外侧前</w:t>
      </w:r>
      <w:r>
        <w:rPr>
          <w:rFonts w:hint="eastAsia"/>
          <w:lang w:val="en-US" w:eastAsia="zh-CN"/>
        </w:rPr>
        <w:t>额叶</w:t>
      </w:r>
      <w:r>
        <w:rPr>
          <w:rFonts w:hint="eastAsia"/>
          <w:lang w:eastAsia="zh-CN"/>
        </w:rPr>
        <w:t>皮层（DLPFC; Funahashi，Chafee，＆Goldman-Rakic，1993; Johnston＆Everling，2006; Wegener，Johnston，＆Everling，2008），</w:t>
      </w:r>
      <w:r>
        <w:rPr>
          <w:rFonts w:hint="eastAsia"/>
          <w:lang w:val="en-US" w:eastAsia="zh-CN"/>
        </w:rPr>
        <w:t>辅助眼部区域</w:t>
      </w:r>
      <w:r>
        <w:rPr>
          <w:rFonts w:hint="eastAsia"/>
          <w:lang w:eastAsia="zh-CN"/>
        </w:rPr>
        <w:t>（SEF; Schlag-Rey，Amador， Sanchez，＆Schlag，1997），</w:t>
      </w:r>
      <w:r>
        <w:rPr>
          <w:rFonts w:hint="eastAsia"/>
          <w:lang w:val="en-US" w:eastAsia="zh-CN"/>
        </w:rPr>
        <w:t>前辅助运动皮质</w:t>
      </w:r>
      <w:r>
        <w:rPr>
          <w:rFonts w:hint="eastAsia"/>
          <w:lang w:eastAsia="zh-CN"/>
        </w:rPr>
        <w:t>（pre-SMA; Aron，Behrens，Smith，Frank，＆Poldrack，2007; Congdon，Constable，Lesch，＆Canli，2009; Isoda＆Hikosaka，2007），以及额叶眼</w:t>
      </w:r>
      <w:r>
        <w:rPr>
          <w:rFonts w:hint="eastAsia"/>
          <w:lang w:val="en-US" w:eastAsia="zh-CN"/>
        </w:rPr>
        <w:t>区域</w:t>
      </w:r>
      <w:r>
        <w:rPr>
          <w:rFonts w:hint="eastAsia"/>
          <w:lang w:eastAsia="zh-CN"/>
        </w:rPr>
        <w:t>（FEF; Munoz＆Everling，2004）。在皮层下</w:t>
      </w:r>
      <w:r>
        <w:rPr>
          <w:rFonts w:hint="eastAsia"/>
          <w:lang w:val="en-US" w:eastAsia="zh-CN"/>
        </w:rPr>
        <w:t>水平</w:t>
      </w:r>
      <w:r>
        <w:rPr>
          <w:rFonts w:hint="eastAsia"/>
          <w:lang w:eastAsia="zh-CN"/>
        </w:rPr>
        <w:t>，</w:t>
      </w:r>
      <w:r>
        <w:rPr>
          <w:rFonts w:hint="eastAsia"/>
          <w:lang w:val="en-US" w:eastAsia="zh-CN"/>
        </w:rPr>
        <w:t>这些包括</w:t>
      </w:r>
      <w:r>
        <w:rPr>
          <w:rFonts w:hint="eastAsia"/>
          <w:lang w:eastAsia="zh-CN"/>
        </w:rPr>
        <w:t>纹状体（Ford＆Everling，2009; Watanabe＆Munoz，2011; Zandbelt＆Vink，2010），丘脑底核（STN; Aron，Behrens，et al，2007; Aron＆Poldrack，2006; Eagle et al，2008; Hikosaka＆Isoda，2008; Isoda＆Hikosaka，2008），以及上丘。破坏</w:t>
      </w:r>
      <w:r>
        <w:rPr>
          <w:rFonts w:hint="eastAsia"/>
          <w:lang w:val="en-US" w:eastAsia="zh-CN"/>
        </w:rPr>
        <w:t>额叶</w:t>
      </w:r>
      <w:r>
        <w:rPr>
          <w:rFonts w:hint="eastAsia"/>
          <w:lang w:eastAsia="zh-CN"/>
        </w:rPr>
        <w:t>或皮质下区域的操作</w:t>
      </w:r>
      <w:r>
        <w:rPr>
          <w:rFonts w:hint="eastAsia"/>
          <w:lang w:val="en-US" w:eastAsia="zh-CN"/>
        </w:rPr>
        <w:t>会</w:t>
      </w:r>
      <w:r>
        <w:rPr>
          <w:rFonts w:hint="eastAsia"/>
          <w:lang w:eastAsia="zh-CN"/>
        </w:rPr>
        <w:t>导致响应抑制</w:t>
      </w:r>
      <w:r>
        <w:rPr>
          <w:rFonts w:hint="eastAsia"/>
          <w:lang w:val="en-US" w:eastAsia="zh-CN"/>
        </w:rPr>
        <w:t>损坏</w:t>
      </w:r>
      <w:r>
        <w:rPr>
          <w:rFonts w:hint="eastAsia"/>
          <w:lang w:eastAsia="zh-CN"/>
        </w:rPr>
        <w:t>（Chambers等，2007; Ray等，2009; Verbruggen，Aron，Stevens，＆Chambers，2010）。此外，在</w:t>
      </w:r>
      <w:r>
        <w:rPr>
          <w:rFonts w:hint="eastAsia"/>
          <w:lang w:val="en-US" w:eastAsia="zh-CN"/>
        </w:rPr>
        <w:t>额叶</w:t>
      </w:r>
      <w:r>
        <w:rPr>
          <w:rFonts w:hint="eastAsia"/>
          <w:lang w:eastAsia="zh-CN"/>
        </w:rPr>
        <w:t>纹状体失调的精神病患者中，响应抑制缺陷</w:t>
      </w:r>
      <w:r>
        <w:rPr>
          <w:rFonts w:hint="eastAsia"/>
          <w:lang w:val="en-US" w:eastAsia="zh-CN"/>
        </w:rPr>
        <w:t>是常见的</w:t>
      </w:r>
      <w:r>
        <w:rPr>
          <w:rFonts w:hint="eastAsia"/>
          <w:lang w:eastAsia="zh-CN"/>
        </w:rPr>
        <w:t>，包括注意力缺陷/多动</w:t>
      </w:r>
      <w:r>
        <w:rPr>
          <w:rFonts w:hint="eastAsia"/>
          <w:lang w:val="en-US" w:eastAsia="zh-CN"/>
        </w:rPr>
        <w:t>证</w:t>
      </w:r>
      <w:r>
        <w:rPr>
          <w:rFonts w:hint="eastAsia"/>
          <w:lang w:eastAsia="zh-CN"/>
        </w:rPr>
        <w:t>（ADHD; Nigg，2001; Oost-erlaan，Logan，＆Sergeant，1998; Schachar＆Logan， 1990），强迫症（OCD; Chamberlain，Fineberg，Blackwell，Robbins，＆Sahakian，2006; Menzies等，2007; Morein-Zamir，Fineberg，Robbins，＆Sahakian，2010;Penadés等，2007），精神分裂症（SZ; Badcock，Michie，Johnson，＆Com-brinck，2002; Bellgrove等，2006; Huddy等，2009），</w:t>
      </w:r>
      <w:r>
        <w:rPr>
          <w:rFonts w:hint="eastAsia"/>
          <w:lang w:val="en-US" w:eastAsia="zh-CN"/>
        </w:rPr>
        <w:t>帕金森</w:t>
      </w:r>
      <w:r>
        <w:rPr>
          <w:rFonts w:hint="eastAsia"/>
          <w:lang w:eastAsia="zh-CN"/>
        </w:rPr>
        <w:t>病（PD; van Koningsbruggen，Pender，Machado，＆Rafal，2009） ）和物质滥用障碍（Monterosso，Aron，Cordova，Xu，＆London，2005; Nigg等，2006）。</w:t>
      </w:r>
    </w:p>
    <w:p>
      <w:pPr>
        <w:ind w:firstLine="420" w:firstLineChars="200"/>
        <w:rPr>
          <w:rFonts w:hint="eastAsia"/>
          <w:lang w:eastAsia="zh-CN"/>
        </w:rPr>
      </w:pPr>
      <w:r>
        <w:rPr>
          <w:rFonts w:hint="eastAsia"/>
          <w:lang w:eastAsia="zh-CN"/>
        </w:rPr>
        <w:t>总之，上述数据表明需要整个额</w:t>
      </w:r>
      <w:r>
        <w:rPr>
          <w:rFonts w:hint="eastAsia"/>
          <w:lang w:val="en-US" w:eastAsia="zh-CN"/>
        </w:rPr>
        <w:t>叶和</w:t>
      </w:r>
      <w:r>
        <w:rPr>
          <w:rFonts w:hint="eastAsia"/>
          <w:lang w:eastAsia="zh-CN"/>
        </w:rPr>
        <w:t>基底神经节网络的完整功能来支持响应抑制。然而，目前尚不清楚这些</w:t>
      </w:r>
      <w:r>
        <w:rPr>
          <w:rFonts w:hint="eastAsia"/>
          <w:lang w:val="en-US" w:eastAsia="zh-CN"/>
        </w:rPr>
        <w:t>缺陷</w:t>
      </w:r>
      <w:r>
        <w:rPr>
          <w:rFonts w:hint="eastAsia"/>
          <w:lang w:eastAsia="zh-CN"/>
        </w:rPr>
        <w:t>的潜在来源是否相同。抑制性控制是一个</w:t>
      </w:r>
      <w:r>
        <w:rPr>
          <w:rFonts w:hint="eastAsia"/>
          <w:lang w:val="en-US" w:eastAsia="zh-CN"/>
        </w:rPr>
        <w:t>多变</w:t>
      </w:r>
      <w:r>
        <w:rPr>
          <w:rFonts w:hint="eastAsia"/>
          <w:lang w:eastAsia="zh-CN"/>
        </w:rPr>
        <w:t>的过程，受不同的相互作用的认知变量和神经调节系统的影响。因此，响应抑制</w:t>
      </w:r>
      <w:r>
        <w:rPr>
          <w:rFonts w:hint="eastAsia"/>
          <w:lang w:val="en-US" w:eastAsia="zh-CN"/>
        </w:rPr>
        <w:t>损坏</w:t>
      </w:r>
      <w:r>
        <w:rPr>
          <w:rFonts w:hint="eastAsia"/>
          <w:lang w:eastAsia="zh-CN"/>
        </w:rPr>
        <w:t>不仅</w:t>
      </w:r>
      <w:r>
        <w:rPr>
          <w:rFonts w:hint="eastAsia"/>
          <w:lang w:val="en-US" w:eastAsia="zh-CN"/>
        </w:rPr>
        <w:t>是由于</w:t>
      </w:r>
      <w:r>
        <w:rPr>
          <w:rFonts w:hint="eastAsia"/>
          <w:lang w:eastAsia="zh-CN"/>
        </w:rPr>
        <w:t>功能失调本身，还</w:t>
      </w:r>
      <w:r>
        <w:rPr>
          <w:rFonts w:hint="eastAsia"/>
          <w:lang w:val="en-US" w:eastAsia="zh-CN"/>
        </w:rPr>
        <w:t>会</w:t>
      </w:r>
      <w:r>
        <w:rPr>
          <w:rFonts w:hint="eastAsia"/>
          <w:lang w:eastAsia="zh-CN"/>
        </w:rPr>
        <w:t>受到动机状态变化（Leotti＆Wager，2010），注意力显着性（Morein-Zamir＆Kingstone，2006），任务规则</w:t>
      </w:r>
      <w:r>
        <w:rPr>
          <w:rFonts w:hint="eastAsia"/>
          <w:lang w:val="en-US" w:eastAsia="zh-CN"/>
        </w:rPr>
        <w:t>的维持</w:t>
      </w:r>
      <w:r>
        <w:rPr>
          <w:rFonts w:hint="eastAsia"/>
          <w:lang w:eastAsia="zh-CN"/>
        </w:rPr>
        <w:t>和检索。（Hutton＆Ettinger，2006; Nieuwenhuis，Broerse，Nielen，＆de Jong，2004; Reuter＆Kath-mann，2004; Roberts，Hager，＆Heron，1994），选择性与全局</w:t>
      </w:r>
      <w:r>
        <w:rPr>
          <w:rFonts w:hint="eastAsia"/>
          <w:lang w:val="en-US" w:eastAsia="zh-CN"/>
        </w:rPr>
        <w:t>性的</w:t>
      </w:r>
      <w:r>
        <w:rPr>
          <w:rFonts w:hint="eastAsia"/>
          <w:lang w:eastAsia="zh-CN"/>
        </w:rPr>
        <w:t>抑制模型机制</w:t>
      </w:r>
      <w:r>
        <w:rPr>
          <w:rFonts w:hint="eastAsia"/>
          <w:lang w:val="en-US" w:eastAsia="zh-CN"/>
        </w:rPr>
        <w:t>以及其他因素</w:t>
      </w:r>
      <w:r>
        <w:rPr>
          <w:rFonts w:hint="eastAsia"/>
          <w:lang w:eastAsia="zh-CN"/>
        </w:rPr>
        <w:t>的影响（Aron，2011）。虽然电生理记录研究表明神经元群体能够区分</w:t>
      </w:r>
      <w:r>
        <w:rPr>
          <w:rFonts w:hint="eastAsia"/>
          <w:lang w:val="en-US" w:eastAsia="zh-CN"/>
        </w:rPr>
        <w:t>是否</w:t>
      </w:r>
      <w:r>
        <w:rPr>
          <w:rFonts w:hint="eastAsia"/>
          <w:lang w:eastAsia="zh-CN"/>
        </w:rPr>
        <w:t>成功停止（Isoda＆Hikosaka，2007,2008），或抑制</w:t>
      </w:r>
      <w:r>
        <w:rPr>
          <w:rFonts w:hint="eastAsia"/>
          <w:lang w:val="en-US" w:eastAsia="zh-CN"/>
        </w:rPr>
        <w:t>优先</w:t>
      </w:r>
      <w:r>
        <w:rPr>
          <w:rFonts w:hint="eastAsia"/>
          <w:lang w:eastAsia="zh-CN"/>
        </w:rPr>
        <w:t>响应以支持受控响应（Ford＆Everling，2009; Watanabe＆Munoz，2009），</w:t>
      </w:r>
      <w:r>
        <w:rPr>
          <w:rFonts w:hint="eastAsia"/>
          <w:lang w:val="en-US" w:eastAsia="zh-CN"/>
        </w:rPr>
        <w:t>但是</w:t>
      </w:r>
      <w:r>
        <w:rPr>
          <w:rFonts w:hint="eastAsia"/>
          <w:lang w:eastAsia="zh-CN"/>
        </w:rPr>
        <w:t>目前还没有一个</w:t>
      </w:r>
      <w:r>
        <w:rPr>
          <w:rFonts w:hint="eastAsia"/>
          <w:lang w:val="en-US" w:eastAsia="zh-CN"/>
        </w:rPr>
        <w:t>完整</w:t>
      </w:r>
      <w:r>
        <w:rPr>
          <w:rFonts w:hint="eastAsia"/>
          <w:lang w:eastAsia="zh-CN"/>
        </w:rPr>
        <w:t>的框架将所有这些研究结果整合到一个模型中，</w:t>
      </w:r>
      <w:r>
        <w:rPr>
          <w:rFonts w:hint="eastAsia"/>
          <w:lang w:val="en-US" w:eastAsia="zh-CN"/>
        </w:rPr>
        <w:t>使得模型能够</w:t>
      </w:r>
      <w:r>
        <w:rPr>
          <w:rFonts w:hint="eastAsia"/>
          <w:lang w:eastAsia="zh-CN"/>
        </w:rPr>
        <w:t>解释电生理数据的模式，或组</w:t>
      </w:r>
      <w:r>
        <w:rPr>
          <w:rFonts w:hint="eastAsia"/>
          <w:lang w:val="en-US" w:eastAsia="zh-CN"/>
        </w:rPr>
        <w:t>成</w:t>
      </w:r>
      <w:r>
        <w:rPr>
          <w:rFonts w:hint="eastAsia"/>
          <w:lang w:eastAsia="zh-CN"/>
        </w:rPr>
        <w:t>部分</w:t>
      </w:r>
      <w:r>
        <w:rPr>
          <w:rFonts w:hint="eastAsia"/>
          <w:lang w:val="en-US" w:eastAsia="zh-CN"/>
        </w:rPr>
        <w:t>的局域</w:t>
      </w:r>
      <w:r>
        <w:rPr>
          <w:rFonts w:hint="eastAsia"/>
          <w:lang w:eastAsia="zh-CN"/>
        </w:rPr>
        <w:t>破坏对行为的影响。</w:t>
      </w:r>
    </w:p>
    <w:p>
      <w:pPr>
        <w:ind w:firstLine="420" w:firstLineChars="200"/>
        <w:rPr>
          <w:rFonts w:hint="eastAsia"/>
          <w:lang w:eastAsia="zh-CN"/>
        </w:rPr>
      </w:pPr>
      <w:r>
        <w:rPr>
          <w:rFonts w:hint="eastAsia"/>
          <w:lang w:val="en-US" w:eastAsia="zh-CN"/>
        </w:rPr>
        <w:t>本文</w:t>
      </w:r>
      <w:r>
        <w:rPr>
          <w:rFonts w:hint="eastAsia"/>
          <w:lang w:eastAsia="zh-CN"/>
        </w:rPr>
        <w:t>神经模型的出发点</w:t>
      </w:r>
      <w:r>
        <w:rPr>
          <w:rFonts w:hint="eastAsia"/>
          <w:lang w:val="en-US" w:eastAsia="zh-CN"/>
        </w:rPr>
        <w:t>是</w:t>
      </w:r>
      <w:r>
        <w:rPr>
          <w:rFonts w:hint="eastAsia"/>
          <w:lang w:eastAsia="zh-CN"/>
        </w:rPr>
        <w:t>建立在关于连接额叶皮层与基底神经节（BG）的三个主要通路</w:t>
      </w:r>
      <w:r>
        <w:rPr>
          <w:rFonts w:hint="eastAsia"/>
          <w:lang w:val="en-US" w:eastAsia="zh-CN"/>
        </w:rPr>
        <w:t>的</w:t>
      </w:r>
      <w:r>
        <w:rPr>
          <w:rFonts w:hint="eastAsia"/>
          <w:lang w:eastAsia="zh-CN"/>
        </w:rPr>
        <w:t>不同作用的现有理论和数据的基础上，</w:t>
      </w:r>
      <w:r>
        <w:rPr>
          <w:rFonts w:hint="eastAsia"/>
          <w:lang w:val="en-US" w:eastAsia="zh-CN"/>
        </w:rPr>
        <w:t>三个通路</w:t>
      </w:r>
      <w:r>
        <w:rPr>
          <w:rFonts w:hint="eastAsia"/>
          <w:lang w:eastAsia="zh-CN"/>
        </w:rPr>
        <w:t>通常被称为直接，间接和超直接通路。根据该</w:t>
      </w:r>
      <w:r>
        <w:rPr>
          <w:rFonts w:hint="eastAsia"/>
          <w:lang w:val="en-US" w:eastAsia="zh-CN"/>
        </w:rPr>
        <w:t>理论</w:t>
      </w:r>
      <w:r>
        <w:rPr>
          <w:rFonts w:hint="eastAsia"/>
          <w:lang w:eastAsia="zh-CN"/>
        </w:rPr>
        <w:t>，皮质—纹状体</w:t>
      </w:r>
      <w:r>
        <w:rPr>
          <w:rFonts w:hint="eastAsia"/>
          <w:lang w:val="en-US" w:eastAsia="zh-CN"/>
        </w:rPr>
        <w:t>的</w:t>
      </w:r>
      <w:r>
        <w:rPr>
          <w:rFonts w:hint="eastAsia"/>
          <w:lang w:eastAsia="zh-CN"/>
        </w:rPr>
        <w:t>直接“Go”</w:t>
      </w:r>
      <w:r>
        <w:rPr>
          <w:rFonts w:hint="eastAsia"/>
          <w:lang w:val="en-US" w:eastAsia="zh-CN"/>
        </w:rPr>
        <w:t>途径</w:t>
      </w:r>
      <w:r>
        <w:rPr>
          <w:rFonts w:hint="eastAsia"/>
          <w:lang w:eastAsia="zh-CN"/>
        </w:rPr>
        <w:t>和间接“NoGo”途径通过</w:t>
      </w:r>
      <w:r>
        <w:rPr>
          <w:rFonts w:hint="eastAsia"/>
          <w:lang w:val="en-US" w:eastAsia="zh-CN"/>
        </w:rPr>
        <w:t>衡量</w:t>
      </w:r>
      <w:r>
        <w:rPr>
          <w:rFonts w:hint="eastAsia"/>
          <w:lang w:eastAsia="zh-CN"/>
        </w:rPr>
        <w:t>额叶皮层</w:t>
      </w:r>
      <w:r>
        <w:rPr>
          <w:rFonts w:hint="eastAsia"/>
          <w:lang w:val="en-US" w:eastAsia="zh-CN"/>
        </w:rPr>
        <w:t>对</w:t>
      </w:r>
      <w:r>
        <w:rPr>
          <w:rFonts w:hint="eastAsia"/>
          <w:lang w:eastAsia="zh-CN"/>
        </w:rPr>
        <w:t>每个候选运动行为的促进或抑制</w:t>
      </w:r>
      <w:r>
        <w:rPr>
          <w:rFonts w:hint="eastAsia"/>
          <w:lang w:val="en-US" w:eastAsia="zh-CN"/>
        </w:rPr>
        <w:t>情况</w:t>
      </w:r>
      <w:r>
        <w:rPr>
          <w:rFonts w:hint="eastAsia"/>
          <w:lang w:eastAsia="zh-CN"/>
        </w:rPr>
        <w:t>来实现选择性门控机制。多巴胺通过差异调节两个纹状体群体中的</w:t>
      </w:r>
      <w:r>
        <w:rPr>
          <w:rFonts w:hint="eastAsia"/>
          <w:lang w:val="en-US" w:eastAsia="zh-CN"/>
        </w:rPr>
        <w:t>活跃</w:t>
      </w:r>
      <w:r>
        <w:rPr>
          <w:rFonts w:hint="eastAsia"/>
          <w:lang w:eastAsia="zh-CN"/>
        </w:rPr>
        <w:t>水平在该模型中起关键作用，</w:t>
      </w:r>
      <w:r>
        <w:rPr>
          <w:rFonts w:hint="eastAsia"/>
          <w:lang w:val="en-US" w:eastAsia="zh-CN"/>
        </w:rPr>
        <w:t>从而</w:t>
      </w:r>
      <w:r>
        <w:rPr>
          <w:rFonts w:hint="eastAsia"/>
          <w:lang w:eastAsia="zh-CN"/>
        </w:rPr>
        <w:t>影响</w:t>
      </w:r>
      <w:r>
        <w:rPr>
          <w:rFonts w:hint="eastAsia"/>
          <w:lang w:val="en-US" w:eastAsia="zh-CN"/>
        </w:rPr>
        <w:t>模型的</w:t>
      </w:r>
      <w:r>
        <w:rPr>
          <w:rFonts w:hint="eastAsia"/>
          <w:lang w:eastAsia="zh-CN"/>
        </w:rPr>
        <w:t>学习和选择。在奖惩期间，多巴胺神经元中的阶段性</w:t>
      </w:r>
      <w:r>
        <w:rPr>
          <w:rFonts w:hint="eastAsia"/>
          <w:lang w:val="en-US" w:eastAsia="zh-CN"/>
        </w:rPr>
        <w:t>的</w:t>
      </w:r>
      <w:r>
        <w:rPr>
          <w:rFonts w:hint="eastAsia"/>
          <w:lang w:eastAsia="zh-CN"/>
        </w:rPr>
        <w:t>爆发和</w:t>
      </w:r>
      <w:r>
        <w:rPr>
          <w:rFonts w:hint="eastAsia"/>
          <w:lang w:val="en-US" w:eastAsia="zh-CN"/>
        </w:rPr>
        <w:t>萧条</w:t>
      </w:r>
      <w:r>
        <w:rPr>
          <w:rFonts w:hint="eastAsia"/>
          <w:lang w:eastAsia="zh-CN"/>
        </w:rPr>
        <w:t>传达了奖励投射误差（Montague，Dayan，＆Sejnowski，1996），其</w:t>
      </w:r>
      <w:r>
        <w:rPr>
          <w:rFonts w:hint="eastAsia"/>
          <w:lang w:val="en-US" w:eastAsia="zh-CN"/>
        </w:rPr>
        <w:t>能够</w:t>
      </w:r>
      <w:r>
        <w:rPr>
          <w:rFonts w:hint="eastAsia"/>
          <w:lang w:eastAsia="zh-CN"/>
        </w:rPr>
        <w:t>瞬时放大Go或NoGo活动状态，</w:t>
      </w:r>
      <w:r>
        <w:rPr>
          <w:rFonts w:hint="eastAsia"/>
          <w:lang w:val="en-US" w:eastAsia="zh-CN"/>
        </w:rPr>
        <w:t>以及</w:t>
      </w:r>
      <w:r>
        <w:rPr>
          <w:rFonts w:hint="eastAsia"/>
          <w:lang w:eastAsia="zh-CN"/>
        </w:rPr>
        <w:t>因此</w:t>
      </w:r>
      <w:r>
        <w:rPr>
          <w:rFonts w:hint="eastAsia"/>
          <w:lang w:val="en-US" w:eastAsia="zh-CN"/>
        </w:rPr>
        <w:t>展现出的不同行为下的活性</w:t>
      </w:r>
      <w:r>
        <w:rPr>
          <w:rFonts w:hint="eastAsia"/>
          <w:lang w:eastAsia="zh-CN"/>
        </w:rPr>
        <w:t>。</w:t>
      </w:r>
      <w:r>
        <w:rPr>
          <w:rFonts w:hint="eastAsia"/>
          <w:lang w:val="en-US" w:eastAsia="zh-CN"/>
        </w:rPr>
        <w:t>在这种方式中</w:t>
      </w:r>
      <w:r>
        <w:rPr>
          <w:rFonts w:hint="eastAsia"/>
          <w:lang w:eastAsia="zh-CN"/>
        </w:rPr>
        <w:t>，这些纹状体可以学习每种皮层动作的正面和负面</w:t>
      </w:r>
      <w:r>
        <w:rPr>
          <w:rFonts w:hint="eastAsia"/>
          <w:lang w:val="en-US" w:eastAsia="zh-CN"/>
        </w:rPr>
        <w:t>信息</w:t>
      </w:r>
      <w:r>
        <w:rPr>
          <w:rFonts w:hint="eastAsia"/>
          <w:lang w:eastAsia="zh-CN"/>
        </w:rPr>
        <w:t>（Frank，2005）。更多</w:t>
      </w:r>
      <w:r>
        <w:rPr>
          <w:rFonts w:hint="eastAsia"/>
          <w:lang w:val="en-US" w:eastAsia="zh-CN"/>
        </w:rPr>
        <w:t>时间下，</w:t>
      </w:r>
      <w:r>
        <w:rPr>
          <w:rFonts w:hint="eastAsia"/>
          <w:lang w:eastAsia="zh-CN"/>
        </w:rPr>
        <w:t>多巴胺水平</w:t>
      </w:r>
      <w:r>
        <w:rPr>
          <w:rFonts w:hint="eastAsia"/>
          <w:lang w:val="en-US" w:eastAsia="zh-CN"/>
        </w:rPr>
        <w:t>缓慢</w:t>
      </w:r>
      <w:r>
        <w:rPr>
          <w:rFonts w:hint="eastAsia"/>
          <w:lang w:eastAsia="zh-CN"/>
        </w:rPr>
        <w:t>增加，将在总体平衡</w:t>
      </w:r>
      <w:r>
        <w:rPr>
          <w:rFonts w:hint="eastAsia"/>
          <w:lang w:val="en-US" w:eastAsia="zh-CN"/>
        </w:rPr>
        <w:t>从</w:t>
      </w:r>
      <w:r>
        <w:rPr>
          <w:rFonts w:hint="eastAsia"/>
          <w:lang w:eastAsia="zh-CN"/>
        </w:rPr>
        <w:t>NoGo途径上转向Go途径，</w:t>
      </w:r>
      <w:r>
        <w:rPr>
          <w:rFonts w:hint="eastAsia"/>
          <w:lang w:val="en-US" w:eastAsia="zh-CN"/>
        </w:rPr>
        <w:t>从而</w:t>
      </w:r>
      <w:r>
        <w:rPr>
          <w:rFonts w:hint="eastAsia"/>
          <w:lang w:eastAsia="zh-CN"/>
        </w:rPr>
        <w:t>直接影响选择，</w:t>
      </w:r>
      <w:r>
        <w:rPr>
          <w:rFonts w:hint="eastAsia"/>
          <w:lang w:val="en-US" w:eastAsia="zh-CN"/>
        </w:rPr>
        <w:t>这是</w:t>
      </w:r>
      <w:r>
        <w:rPr>
          <w:rFonts w:hint="eastAsia"/>
          <w:lang w:eastAsia="zh-CN"/>
        </w:rPr>
        <w:t>相对于负面关联和加速响应的</w:t>
      </w:r>
      <w:r>
        <w:rPr>
          <w:rFonts w:hint="eastAsia"/>
          <w:lang w:val="en-US" w:eastAsia="zh-CN"/>
        </w:rPr>
        <w:t>正向</w:t>
      </w:r>
      <w:r>
        <w:rPr>
          <w:rFonts w:hint="eastAsia"/>
          <w:lang w:eastAsia="zh-CN"/>
        </w:rPr>
        <w:t>学习（反之亦然，</w:t>
      </w:r>
      <w:r>
        <w:rPr>
          <w:rFonts w:hint="eastAsia"/>
          <w:lang w:val="en-US" w:eastAsia="zh-CN"/>
        </w:rPr>
        <w:t>多巴胺缓慢减少造成相反的结果</w:t>
      </w:r>
      <w:r>
        <w:rPr>
          <w:rFonts w:hint="eastAsia"/>
          <w:lang w:eastAsia="zh-CN"/>
        </w:rPr>
        <w:t>）。该模型的许多投射</w:t>
      </w:r>
      <w:r>
        <w:rPr>
          <w:rFonts w:hint="eastAsia"/>
          <w:lang w:val="en-US" w:eastAsia="zh-CN"/>
        </w:rPr>
        <w:t>部分</w:t>
      </w:r>
      <w:r>
        <w:rPr>
          <w:rFonts w:hint="eastAsia"/>
          <w:lang w:eastAsia="zh-CN"/>
        </w:rPr>
        <w:t>已通过涉及人和猴的多巴胺能操作和功能成像的行为研究（例如，Frank，See-berger，＆O'Reilly，2004; Jocham，Klein，＆Ullsperger，2011; Nakamura＆Hikosaka， 2006; Palminteri等，2009; Voon等，2010）、啮齿动物的突触可塑性、</w:t>
      </w:r>
      <w:r>
        <w:rPr>
          <w:rFonts w:hint="eastAsia"/>
          <w:lang w:val="en-US" w:eastAsia="zh-CN"/>
        </w:rPr>
        <w:t>以及</w:t>
      </w:r>
      <w:r>
        <w:rPr>
          <w:rFonts w:hint="eastAsia"/>
          <w:lang w:eastAsia="zh-CN"/>
        </w:rPr>
        <w:t>光遗传学和遗传工程研究（Hikida，Kimura，Wada，Funabiki，＆Nakanishi，2010; Kravitz）等得到验证（2010; Kravitz，Tye，＆Kreitzer，2012; Shen，Flajolet，Greengard，＆Surmeier，2008）。</w:t>
      </w:r>
    </w:p>
    <w:p>
      <w:pPr>
        <w:ind w:firstLine="420" w:firstLineChars="200"/>
        <w:rPr>
          <w:rFonts w:hint="eastAsia"/>
          <w:lang w:eastAsia="zh-CN"/>
        </w:rPr>
      </w:pPr>
      <w:r>
        <w:rPr>
          <w:rFonts w:hint="eastAsia"/>
          <w:lang w:eastAsia="zh-CN"/>
        </w:rPr>
        <w:t>注意</w:t>
      </w:r>
      <w:r>
        <w:rPr>
          <w:rFonts w:hint="eastAsia"/>
          <w:lang w:val="en-US" w:eastAsia="zh-CN"/>
        </w:rPr>
        <w:t>到</w:t>
      </w:r>
      <w:r>
        <w:rPr>
          <w:rFonts w:hint="eastAsia"/>
          <w:lang w:eastAsia="zh-CN"/>
        </w:rPr>
        <w:t>，在上述模型中，</w:t>
      </w:r>
      <w:r>
        <w:rPr>
          <w:rFonts w:hint="eastAsia"/>
          <w:lang w:val="en-US" w:eastAsia="zh-CN"/>
        </w:rPr>
        <w:t>只</w:t>
      </w:r>
      <w:r>
        <w:rPr>
          <w:rFonts w:hint="eastAsia"/>
          <w:lang w:eastAsia="zh-CN"/>
        </w:rPr>
        <w:t>通过纹状体Go和NoGo群体</w:t>
      </w:r>
      <w:r>
        <w:rPr>
          <w:rFonts w:hint="eastAsia"/>
          <w:lang w:val="en-US" w:eastAsia="zh-CN"/>
        </w:rPr>
        <w:t>来</w:t>
      </w:r>
      <w:r>
        <w:rPr>
          <w:rFonts w:hint="eastAsia"/>
          <w:lang w:eastAsia="zh-CN"/>
        </w:rPr>
        <w:t>调节特定皮质</w:t>
      </w:r>
      <w:r>
        <w:rPr>
          <w:rFonts w:hint="eastAsia"/>
          <w:lang w:val="en-US" w:eastAsia="zh-CN"/>
        </w:rPr>
        <w:t>行为</w:t>
      </w:r>
      <w:r>
        <w:rPr>
          <w:rFonts w:hint="eastAsia"/>
          <w:lang w:eastAsia="zh-CN"/>
        </w:rPr>
        <w:t>的选择，</w:t>
      </w:r>
      <w:r>
        <w:rPr>
          <w:rFonts w:hint="eastAsia"/>
          <w:lang w:val="en-US" w:eastAsia="zh-CN"/>
        </w:rPr>
        <w:t>从而</w:t>
      </w:r>
      <w:r>
        <w:rPr>
          <w:rFonts w:hint="eastAsia"/>
          <w:lang w:eastAsia="zh-CN"/>
        </w:rPr>
        <w:t>选择性地促进或抑制响应。然而，更近期的模型还</w:t>
      </w:r>
      <w:r>
        <w:rPr>
          <w:rFonts w:hint="eastAsia"/>
          <w:lang w:val="en-US" w:eastAsia="zh-CN"/>
        </w:rPr>
        <w:t>涉及到</w:t>
      </w:r>
      <w:r>
        <w:rPr>
          <w:rFonts w:hint="eastAsia"/>
          <w:lang w:eastAsia="zh-CN"/>
        </w:rPr>
        <w:t>从额</w:t>
      </w:r>
      <w:r>
        <w:rPr>
          <w:rFonts w:hint="eastAsia"/>
          <w:lang w:val="en-US" w:eastAsia="zh-CN"/>
        </w:rPr>
        <w:t>叶</w:t>
      </w:r>
      <w:r>
        <w:rPr>
          <w:rFonts w:hint="eastAsia"/>
          <w:lang w:eastAsia="zh-CN"/>
        </w:rPr>
        <w:t>皮质到STN</w:t>
      </w:r>
      <w:r>
        <w:rPr>
          <w:rFonts w:hint="eastAsia"/>
          <w:lang w:val="en-US" w:eastAsia="zh-CN"/>
        </w:rPr>
        <w:t>至</w:t>
      </w:r>
      <w:r>
        <w:rPr>
          <w:rFonts w:hint="eastAsia"/>
          <w:lang w:eastAsia="zh-CN"/>
        </w:rPr>
        <w:t>BG</w:t>
      </w:r>
      <w:r>
        <w:rPr>
          <w:rFonts w:hint="eastAsia"/>
          <w:lang w:val="en-US" w:eastAsia="zh-CN"/>
        </w:rPr>
        <w:t>的</w:t>
      </w:r>
      <w:r>
        <w:rPr>
          <w:rFonts w:hint="eastAsia"/>
          <w:lang w:eastAsia="zh-CN"/>
        </w:rPr>
        <w:t>输出的第三个超直接通路。在</w:t>
      </w:r>
      <w:r>
        <w:rPr>
          <w:rFonts w:hint="eastAsia"/>
          <w:lang w:val="en-US" w:eastAsia="zh-CN"/>
        </w:rPr>
        <w:t>备选</w:t>
      </w:r>
      <w:r>
        <w:rPr>
          <w:rFonts w:hint="eastAsia"/>
          <w:lang w:eastAsia="zh-CN"/>
        </w:rPr>
        <w:t>行动之间存在冲突时，这种途径</w:t>
      </w:r>
      <w:r>
        <w:rPr>
          <w:rFonts w:hint="eastAsia"/>
          <w:lang w:val="en-US" w:eastAsia="zh-CN"/>
        </w:rPr>
        <w:t>上的交流行为</w:t>
      </w:r>
      <w:r>
        <w:rPr>
          <w:rFonts w:hint="eastAsia"/>
          <w:lang w:eastAsia="zh-CN"/>
        </w:rPr>
        <w:t>通过短暂抑制所有响应的门控，提供</w:t>
      </w:r>
      <w:r>
        <w:rPr>
          <w:rFonts w:hint="eastAsia"/>
          <w:lang w:val="en-US" w:eastAsia="zh-CN"/>
        </w:rPr>
        <w:t>了</w:t>
      </w:r>
      <w:r>
        <w:rPr>
          <w:rFonts w:hint="eastAsia"/>
          <w:lang w:eastAsia="zh-CN"/>
        </w:rPr>
        <w:t>门控阈值的全局动态调节（Frank，2006; Ratcliff＆Frank，2012）。使用STN操作的实证研究（Cavanagh等，2011; Frank，Samanta，Moustafa，＆Sherman，2007; Wylie等，2010），直接记录（Cavanagh等，2011; Isoda＆Hikosaka，2008; Zaghloul等） al。，2012）和fMRI / DTI（Aron，Behrens，et al。，2007）同样支持这一观点。</w:t>
      </w:r>
    </w:p>
    <w:p>
      <w:pPr>
        <w:ind w:firstLine="420" w:firstLineChars="200"/>
        <w:rPr>
          <w:rFonts w:hint="eastAsia"/>
          <w:lang w:eastAsia="zh-CN"/>
        </w:rPr>
      </w:pPr>
      <w:r>
        <w:rPr>
          <w:rFonts w:hint="eastAsia"/>
          <w:lang w:eastAsia="zh-CN"/>
        </w:rPr>
        <w:t>然而，现有的BG模型不能处理这样的情况：初始的优先响应被激活但是</w:t>
      </w:r>
      <w:r>
        <w:rPr>
          <w:rFonts w:hint="eastAsia"/>
          <w:lang w:val="en-US" w:eastAsia="zh-CN"/>
        </w:rPr>
        <w:t>接着</w:t>
      </w:r>
      <w:r>
        <w:rPr>
          <w:rFonts w:hint="eastAsia"/>
          <w:lang w:eastAsia="zh-CN"/>
        </w:rPr>
        <w:t>需要被抑制（或者总是</w:t>
      </w:r>
      <w:r>
        <w:rPr>
          <w:rFonts w:hint="eastAsia"/>
          <w:lang w:val="en-US" w:eastAsia="zh-CN"/>
        </w:rPr>
        <w:t>被抑制</w:t>
      </w:r>
      <w:r>
        <w:rPr>
          <w:rFonts w:hint="eastAsia"/>
          <w:lang w:eastAsia="zh-CN"/>
        </w:rPr>
        <w:t>，</w:t>
      </w:r>
      <w:r>
        <w:rPr>
          <w:rFonts w:hint="eastAsia"/>
          <w:lang w:val="en-US" w:eastAsia="zh-CN"/>
        </w:rPr>
        <w:t>以及更加复杂的</w:t>
      </w:r>
      <w:r>
        <w:rPr>
          <w:rFonts w:hint="eastAsia"/>
          <w:lang w:eastAsia="zh-CN"/>
        </w:rPr>
        <w:t>响应），</w:t>
      </w:r>
      <w:r>
        <w:rPr>
          <w:rFonts w:hint="eastAsia"/>
          <w:lang w:val="en-US" w:eastAsia="zh-CN"/>
        </w:rPr>
        <w:t>这些都是</w:t>
      </w:r>
      <w:r>
        <w:rPr>
          <w:rFonts w:hint="eastAsia"/>
          <w:lang w:eastAsia="zh-CN"/>
        </w:rPr>
        <w:t>通常在“响应抑制”标题下研究的情况。在这里，文中通过整合额外的皮层区域来扩展模型，这些区域有助于执行控制，并且可以抑制和覆盖习惯</w:t>
      </w:r>
      <w:r>
        <w:rPr>
          <w:rFonts w:hint="eastAsia"/>
          <w:lang w:val="en-US" w:eastAsia="zh-CN"/>
        </w:rPr>
        <w:t>性</w:t>
      </w:r>
      <w:r>
        <w:rPr>
          <w:rFonts w:hint="eastAsia"/>
          <w:lang w:eastAsia="zh-CN"/>
        </w:rPr>
        <w:t>的响应选择。文中考虑了优先响应</w:t>
      </w:r>
      <w:r>
        <w:rPr>
          <w:rFonts w:hint="eastAsia"/>
          <w:lang w:val="en-US" w:eastAsia="zh-CN"/>
        </w:rPr>
        <w:t>由活跃到</w:t>
      </w:r>
      <w:r>
        <w:rPr>
          <w:rFonts w:hint="eastAsia"/>
          <w:lang w:eastAsia="zh-CN"/>
        </w:rPr>
        <w:t>随后</w:t>
      </w:r>
      <w:r>
        <w:rPr>
          <w:rFonts w:hint="eastAsia"/>
          <w:lang w:val="en-US" w:eastAsia="zh-CN"/>
        </w:rPr>
        <w:t>被</w:t>
      </w:r>
      <w:r>
        <w:rPr>
          <w:rFonts w:hint="eastAsia"/>
          <w:lang w:eastAsia="zh-CN"/>
        </w:rPr>
        <w:t>检测到需要被抑制</w:t>
      </w:r>
      <w:r>
        <w:rPr>
          <w:rFonts w:hint="eastAsia"/>
          <w:lang w:val="en-US" w:eastAsia="zh-CN"/>
        </w:rPr>
        <w:t>的</w:t>
      </w:r>
      <w:r>
        <w:rPr>
          <w:rFonts w:hint="eastAsia"/>
          <w:lang w:eastAsia="zh-CN"/>
        </w:rPr>
        <w:t>过程，</w:t>
      </w:r>
      <w:r>
        <w:rPr>
          <w:rFonts w:hint="eastAsia"/>
          <w:lang w:val="en-US" w:eastAsia="zh-CN"/>
        </w:rPr>
        <w:t>以及</w:t>
      </w:r>
      <w:r>
        <w:rPr>
          <w:rFonts w:hint="eastAsia"/>
          <w:lang w:eastAsia="zh-CN"/>
        </w:rPr>
        <w:t>抑制过程本身——所有这些因素如何被生物</w:t>
      </w:r>
      <w:r>
        <w:rPr>
          <w:rFonts w:hint="eastAsia"/>
          <w:lang w:val="en-US" w:eastAsia="zh-CN"/>
        </w:rPr>
        <w:t>变量</w:t>
      </w:r>
      <w:r>
        <w:rPr>
          <w:rFonts w:hint="eastAsia"/>
          <w:lang w:eastAsia="zh-CN"/>
        </w:rPr>
        <w:t>和认知变量调节。文中考虑了</w:t>
      </w:r>
      <w:r>
        <w:rPr>
          <w:rFonts w:hint="eastAsia"/>
          <w:lang w:val="en-US" w:eastAsia="zh-CN"/>
        </w:rPr>
        <w:t>易捕获</w:t>
      </w:r>
      <w:r>
        <w:rPr>
          <w:rFonts w:hint="eastAsia"/>
          <w:lang w:eastAsia="zh-CN"/>
        </w:rPr>
        <w:t>的各种额叶（DLPFC，FEF，pre-SMA，ACC）和基底神经节（纹状体，STN）区域的电生理数据，以及它们如何与功能性行为的变化相关联。</w:t>
      </w:r>
    </w:p>
    <w:p>
      <w:pPr>
        <w:ind w:firstLine="420" w:firstLineChars="200"/>
        <w:rPr>
          <w:rFonts w:hint="eastAsia"/>
          <w:lang w:eastAsia="zh-CN"/>
        </w:rPr>
      </w:pPr>
      <w:r>
        <w:rPr>
          <w:rFonts w:hint="eastAsia"/>
          <w:lang w:eastAsia="zh-CN"/>
        </w:rPr>
        <w:t>神经模型很复杂，因为它们涉及许多相互作用的参数，以产生对</w:t>
      </w:r>
      <w:r>
        <w:rPr>
          <w:rFonts w:hint="eastAsia"/>
          <w:lang w:val="en-US" w:eastAsia="zh-CN"/>
        </w:rPr>
        <w:t>动态过程</w:t>
      </w:r>
      <w:r>
        <w:rPr>
          <w:rFonts w:hint="eastAsia"/>
          <w:lang w:eastAsia="zh-CN"/>
        </w:rPr>
        <w:t>和行为的非线性影响。调整参数以精确匹配来自一个实验的电生理学数据</w:t>
      </w:r>
      <w:r>
        <w:rPr>
          <w:rFonts w:hint="eastAsia"/>
          <w:lang w:val="en-US" w:eastAsia="zh-CN"/>
        </w:rPr>
        <w:t>有</w:t>
      </w:r>
      <w:r>
        <w:rPr>
          <w:rFonts w:hint="eastAsia"/>
          <w:lang w:eastAsia="zh-CN"/>
        </w:rPr>
        <w:t>导致过度拟合的风险，这可能使得难以精确地捕获来自不同实验的电生理（或行为）数据。因此，文中的目标</w:t>
      </w:r>
      <w:r>
        <w:rPr>
          <w:rFonts w:hint="eastAsia"/>
          <w:lang w:val="en-US" w:eastAsia="zh-CN"/>
        </w:rPr>
        <w:t>转为</w:t>
      </w:r>
      <w:r>
        <w:rPr>
          <w:rFonts w:hint="eastAsia"/>
          <w:lang w:eastAsia="zh-CN"/>
        </w:rPr>
        <w:t>通过一组参数捕获多层次皮质和皮质下网络的电生理学数据以及它们对行为影响</w:t>
      </w:r>
      <w:r>
        <w:rPr>
          <w:rFonts w:hint="eastAsia"/>
          <w:lang w:val="en-US" w:eastAsia="zh-CN"/>
        </w:rPr>
        <w:t>的</w:t>
      </w:r>
      <w:r>
        <w:rPr>
          <w:rFonts w:hint="eastAsia"/>
          <w:lang w:eastAsia="zh-CN"/>
        </w:rPr>
        <w:t>定性模式。在其他工作中（Wiecki＆Frank， 2010a），神经模型参数的系统变化以</w:t>
      </w:r>
      <w:r>
        <w:rPr>
          <w:rFonts w:hint="eastAsia"/>
          <w:lang w:val="en-US" w:eastAsia="zh-CN"/>
        </w:rPr>
        <w:t>规律</w:t>
      </w:r>
      <w:r>
        <w:rPr>
          <w:rFonts w:hint="eastAsia"/>
          <w:lang w:eastAsia="zh-CN"/>
        </w:rPr>
        <w:t>的，单调的方式与</w:t>
      </w:r>
      <w:r>
        <w:rPr>
          <w:rFonts w:hint="eastAsia"/>
          <w:lang w:val="en-US" w:eastAsia="zh-CN"/>
        </w:rPr>
        <w:t>设定</w:t>
      </w:r>
      <w:r>
        <w:rPr>
          <w:rFonts w:hint="eastAsia"/>
          <w:lang w:eastAsia="zh-CN"/>
        </w:rPr>
        <w:t>的漂移扩散框架中的更多计算水平参数相关联，</w:t>
      </w:r>
      <w:r>
        <w:rPr>
          <w:rFonts w:hint="eastAsia"/>
          <w:lang w:val="en-US" w:eastAsia="zh-CN"/>
        </w:rPr>
        <w:t>从而</w:t>
      </w:r>
      <w:r>
        <w:rPr>
          <w:rFonts w:hint="eastAsia"/>
          <w:lang w:eastAsia="zh-CN"/>
        </w:rPr>
        <w:t>提供</w:t>
      </w:r>
      <w:r>
        <w:rPr>
          <w:rFonts w:hint="eastAsia"/>
          <w:lang w:val="en-US" w:eastAsia="zh-CN"/>
        </w:rPr>
        <w:t>合理的</w:t>
      </w:r>
      <w:r>
        <w:rPr>
          <w:rFonts w:hint="eastAsia"/>
          <w:lang w:eastAsia="zh-CN"/>
        </w:rPr>
        <w:t>理解和实验投射。此外，尽管模型拟合具有定性性质，但文中的目标是基于独立于特定参数化的一般原理将文中的模型与文献中的其他模型区分开来。为了实现这一目标，文中提取了一组定性行为和神经认知基准测试结果（列于结果部分），文中用它来评估模型的有效性并与其他模型进行比较。</w:t>
      </w:r>
    </w:p>
    <w:p>
      <w:pPr>
        <w:ind w:firstLine="420" w:firstLineChars="200"/>
        <w:rPr>
          <w:rFonts w:hint="eastAsia"/>
          <w:lang w:eastAsia="zh-CN"/>
        </w:rPr>
      </w:pPr>
      <w:r>
        <w:rPr>
          <w:rFonts w:hint="eastAsia"/>
          <w:lang w:eastAsia="zh-CN"/>
        </w:rPr>
        <w:t>如上所述，尽管表面</w:t>
      </w:r>
      <w:r>
        <w:rPr>
          <w:rFonts w:hint="eastAsia"/>
          <w:lang w:val="en-US" w:eastAsia="zh-CN"/>
        </w:rPr>
        <w:t>是</w:t>
      </w:r>
      <w:r>
        <w:rPr>
          <w:rFonts w:hint="eastAsia"/>
          <w:lang w:eastAsia="zh-CN"/>
        </w:rPr>
        <w:t>单个</w:t>
      </w:r>
      <w:r>
        <w:rPr>
          <w:rFonts w:hint="eastAsia"/>
          <w:lang w:val="en-US" w:eastAsia="zh-CN"/>
        </w:rPr>
        <w:t>组件构成</w:t>
      </w:r>
      <w:r>
        <w:rPr>
          <w:rFonts w:hint="eastAsia"/>
          <w:lang w:eastAsia="zh-CN"/>
        </w:rPr>
        <w:t>的响应抑制网络，但实际上存在可影响抑制的多个动态组件。本文的贡献是将这些</w:t>
      </w:r>
      <w:r>
        <w:rPr>
          <w:rFonts w:hint="eastAsia"/>
          <w:lang w:val="en-US" w:eastAsia="zh-CN"/>
        </w:rPr>
        <w:t>单独</w:t>
      </w:r>
      <w:r>
        <w:rPr>
          <w:rFonts w:hint="eastAsia"/>
          <w:lang w:eastAsia="zh-CN"/>
        </w:rPr>
        <w:t>的神经过程形式化并探索它们的交互</w:t>
      </w:r>
      <w:r>
        <w:rPr>
          <w:rFonts w:hint="eastAsia"/>
          <w:lang w:val="en-US" w:eastAsia="zh-CN"/>
        </w:rPr>
        <w:t>作用</w:t>
      </w:r>
      <w:r>
        <w:rPr>
          <w:rFonts w:hint="eastAsia"/>
          <w:lang w:eastAsia="zh-CN"/>
        </w:rPr>
        <w:t>。</w:t>
      </w:r>
      <w:r>
        <w:rPr>
          <w:rFonts w:hint="eastAsia"/>
          <w:lang w:val="en-US" w:eastAsia="zh-CN"/>
        </w:rPr>
        <w:t>以下是</w:t>
      </w:r>
      <w:r>
        <w:rPr>
          <w:rFonts w:hint="eastAsia"/>
          <w:lang w:eastAsia="zh-CN"/>
        </w:rPr>
        <w:t>总结和预览文中工作的核心方面：</w:t>
      </w:r>
    </w:p>
    <w:p>
      <w:pPr>
        <w:ind w:firstLine="420" w:firstLineChars="200"/>
        <w:rPr>
          <w:rFonts w:hint="eastAsia"/>
          <w:lang w:eastAsia="zh-CN"/>
        </w:rPr>
      </w:pPr>
      <w:r>
        <w:rPr>
          <w:rFonts w:hint="eastAsia"/>
          <w:lang w:eastAsia="zh-CN"/>
        </w:rPr>
        <w:t>•</w:t>
      </w:r>
      <w:r>
        <w:rPr>
          <w:rFonts w:hint="eastAsia"/>
          <w:lang w:val="en-US" w:eastAsia="zh-CN"/>
        </w:rPr>
        <w:t>本文</w:t>
      </w:r>
      <w:r>
        <w:rPr>
          <w:rFonts w:hint="eastAsia"/>
          <w:lang w:eastAsia="zh-CN"/>
        </w:rPr>
        <w:t>提出了</w:t>
      </w:r>
      <w:r>
        <w:rPr>
          <w:rFonts w:hint="eastAsia"/>
          <w:lang w:val="en-US" w:eastAsia="zh-CN"/>
        </w:rPr>
        <w:t>关于</w:t>
      </w:r>
      <w:r>
        <w:rPr>
          <w:rFonts w:hint="eastAsia"/>
          <w:lang w:eastAsia="zh-CN"/>
        </w:rPr>
        <w:t>三</w:t>
      </w:r>
      <w:r>
        <w:rPr>
          <w:rFonts w:hint="eastAsia"/>
          <w:lang w:val="en-US" w:eastAsia="zh-CN"/>
        </w:rPr>
        <w:t>种主要的</w:t>
      </w:r>
      <w:r>
        <w:rPr>
          <w:rFonts w:hint="eastAsia"/>
          <w:lang w:eastAsia="zh-CN"/>
        </w:rPr>
        <w:t>额叶-</w:t>
      </w:r>
      <w:r>
        <w:rPr>
          <w:rFonts w:hint="eastAsia"/>
          <w:lang w:val="en-US" w:eastAsia="zh-CN"/>
        </w:rPr>
        <w:t>基底神经节</w:t>
      </w:r>
      <w:r>
        <w:rPr>
          <w:rFonts w:hint="eastAsia"/>
          <w:lang w:eastAsia="zh-CN"/>
        </w:rPr>
        <w:t>途径的神经网络模型，</w:t>
      </w:r>
      <w:r>
        <w:rPr>
          <w:rFonts w:hint="eastAsia"/>
          <w:lang w:val="en-US" w:eastAsia="zh-CN"/>
        </w:rPr>
        <w:t>三种途径可以</w:t>
      </w:r>
      <w:r>
        <w:rPr>
          <w:rFonts w:hint="eastAsia"/>
          <w:lang w:eastAsia="zh-CN"/>
        </w:rPr>
        <w:t>支持</w:t>
      </w:r>
      <w:r>
        <w:rPr>
          <w:rFonts w:hint="eastAsia"/>
          <w:lang w:val="en-US" w:eastAsia="zh-CN"/>
        </w:rPr>
        <w:t>优先行为</w:t>
      </w:r>
      <w:r>
        <w:rPr>
          <w:rFonts w:hint="eastAsia"/>
          <w:lang w:eastAsia="zh-CN"/>
        </w:rPr>
        <w:t>选择，抑制控制，冲突引起的减慢和</w:t>
      </w:r>
      <w:r>
        <w:rPr>
          <w:rFonts w:hint="eastAsia"/>
          <w:lang w:val="en-US" w:eastAsia="zh-CN"/>
        </w:rPr>
        <w:t>意愿</w:t>
      </w:r>
      <w:r>
        <w:rPr>
          <w:rFonts w:hint="eastAsia"/>
          <w:lang w:eastAsia="zh-CN"/>
        </w:rPr>
        <w:t>行为的产生。</w:t>
      </w:r>
    </w:p>
    <w:p>
      <w:pPr>
        <w:ind w:firstLine="420" w:firstLineChars="200"/>
        <w:rPr>
          <w:rFonts w:hint="eastAsia"/>
          <w:lang w:eastAsia="zh-CN"/>
        </w:rPr>
      </w:pPr>
      <w:r>
        <w:rPr>
          <w:rFonts w:hint="eastAsia"/>
          <w:lang w:eastAsia="zh-CN"/>
        </w:rPr>
        <w:t>•</w:t>
      </w:r>
      <w:r>
        <w:rPr>
          <w:rFonts w:hint="eastAsia"/>
          <w:lang w:val="en-US" w:eastAsia="zh-CN"/>
        </w:rPr>
        <w:t>本文展示了</w:t>
      </w:r>
      <w:r>
        <w:rPr>
          <w:rFonts w:hint="eastAsia"/>
          <w:lang w:eastAsia="zh-CN"/>
        </w:rPr>
        <w:t>依赖于这些基本过程的一系列任务中的行为变化可能是由于大脑</w:t>
      </w:r>
      <w:r>
        <w:rPr>
          <w:rFonts w:hint="eastAsia"/>
          <w:lang w:val="en-US" w:eastAsia="zh-CN"/>
        </w:rPr>
        <w:t>内</w:t>
      </w:r>
      <w:r>
        <w:rPr>
          <w:rFonts w:hint="eastAsia"/>
          <w:lang w:eastAsia="zh-CN"/>
        </w:rPr>
        <w:t>连接状态的改变所致，并为不同的大脑疾病的影响提供可测试的投射。</w:t>
      </w:r>
    </w:p>
    <w:p>
      <w:pPr>
        <w:ind w:firstLine="420" w:firstLineChars="200"/>
        <w:rPr>
          <w:rFonts w:hint="eastAsia"/>
          <w:lang w:eastAsia="zh-CN"/>
        </w:rPr>
      </w:pPr>
      <w:r>
        <w:rPr>
          <w:rFonts w:hint="eastAsia"/>
          <w:lang w:eastAsia="zh-CN"/>
        </w:rPr>
        <w:t>•选择性响应抑制涉及</w:t>
      </w:r>
      <w:r>
        <w:rPr>
          <w:rFonts w:hint="eastAsia"/>
          <w:lang w:val="en-US" w:eastAsia="zh-CN"/>
        </w:rPr>
        <w:t>了</w:t>
      </w:r>
      <w:r>
        <w:rPr>
          <w:rFonts w:hint="eastAsia"/>
          <w:lang w:eastAsia="zh-CN"/>
        </w:rPr>
        <w:t>通过超直接途径引起的冲突诱导的全局减慢，提高有效决策阈值以防止优先</w:t>
      </w:r>
      <w:r>
        <w:rPr>
          <w:rFonts w:hint="eastAsia"/>
          <w:lang w:val="en-US" w:eastAsia="zh-CN"/>
        </w:rPr>
        <w:t>行为</w:t>
      </w:r>
      <w:r>
        <w:rPr>
          <w:rFonts w:hint="eastAsia"/>
          <w:lang w:eastAsia="zh-CN"/>
        </w:rPr>
        <w:t>响应，</w:t>
      </w:r>
      <w:r>
        <w:rPr>
          <w:rFonts w:hint="eastAsia"/>
          <w:lang w:val="en-US" w:eastAsia="zh-CN"/>
        </w:rPr>
        <w:t>接着</w:t>
      </w:r>
      <w:r>
        <w:rPr>
          <w:rFonts w:hint="eastAsia"/>
          <w:lang w:eastAsia="zh-CN"/>
        </w:rPr>
        <w:t>DLPFC</w:t>
      </w:r>
      <w:r>
        <w:rPr>
          <w:rFonts w:hint="eastAsia"/>
          <w:lang w:val="en-US" w:eastAsia="zh-CN"/>
        </w:rPr>
        <w:t>刺激相应的</w:t>
      </w:r>
      <w:r>
        <w:rPr>
          <w:rFonts w:hint="eastAsia"/>
          <w:lang w:eastAsia="zh-CN"/>
        </w:rPr>
        <w:t>纹状体NoGo活性以抑制计划的优先</w:t>
      </w:r>
      <w:r>
        <w:rPr>
          <w:rFonts w:hint="eastAsia"/>
          <w:lang w:val="en-US" w:eastAsia="zh-CN"/>
        </w:rPr>
        <w:t>行为</w:t>
      </w:r>
      <w:r>
        <w:rPr>
          <w:rFonts w:hint="eastAsia"/>
          <w:lang w:eastAsia="zh-CN"/>
        </w:rPr>
        <w:t>响应。随后，DLPFC向编码受控响应的纹状体Go群体提供自上而下的促进。</w:t>
      </w:r>
    </w:p>
    <w:p>
      <w:pPr>
        <w:ind w:firstLine="420" w:firstLineChars="200"/>
        <w:rPr>
          <w:rFonts w:hint="eastAsia"/>
          <w:lang w:eastAsia="zh-CN"/>
        </w:rPr>
      </w:pPr>
      <w:r>
        <w:rPr>
          <w:rFonts w:hint="eastAsia"/>
          <w:lang w:eastAsia="zh-CN"/>
        </w:rPr>
        <w:t>•响应</w:t>
      </w:r>
      <w:r>
        <w:rPr>
          <w:rFonts w:hint="eastAsia"/>
          <w:lang w:val="en-US" w:eastAsia="zh-CN"/>
        </w:rPr>
        <w:t>的</w:t>
      </w:r>
      <w:r>
        <w:rPr>
          <w:rFonts w:hint="eastAsia"/>
          <w:lang w:eastAsia="zh-CN"/>
        </w:rPr>
        <w:t>选择和抑制</w:t>
      </w:r>
      <w:r>
        <w:rPr>
          <w:rFonts w:hint="eastAsia"/>
          <w:lang w:val="en-US" w:eastAsia="zh-CN"/>
        </w:rPr>
        <w:t>会</w:t>
      </w:r>
      <w:r>
        <w:rPr>
          <w:rFonts w:hint="eastAsia"/>
          <w:lang w:eastAsia="zh-CN"/>
        </w:rPr>
        <w:t>进一步受到影响神经调节</w:t>
      </w:r>
      <w:r>
        <w:rPr>
          <w:rFonts w:hint="eastAsia"/>
          <w:lang w:val="en-US" w:eastAsia="zh-CN"/>
        </w:rPr>
        <w:t>的物质</w:t>
      </w:r>
      <w:r>
        <w:rPr>
          <w:rFonts w:hint="eastAsia"/>
          <w:lang w:eastAsia="zh-CN"/>
        </w:rPr>
        <w:t>的调控，包括与</w:t>
      </w:r>
      <w:r>
        <w:rPr>
          <w:rFonts w:hint="eastAsia"/>
          <w:lang w:val="en-US" w:eastAsia="zh-CN"/>
        </w:rPr>
        <w:t>动力</w:t>
      </w:r>
      <w:r>
        <w:rPr>
          <w:rFonts w:hint="eastAsia"/>
          <w:lang w:eastAsia="zh-CN"/>
        </w:rPr>
        <w:t>和注意</w:t>
      </w:r>
      <w:r>
        <w:rPr>
          <w:rFonts w:hint="eastAsia"/>
          <w:lang w:val="en-US" w:eastAsia="zh-CN"/>
        </w:rPr>
        <w:t>力</w:t>
      </w:r>
      <w:r>
        <w:rPr>
          <w:rFonts w:hint="eastAsia"/>
          <w:lang w:eastAsia="zh-CN"/>
        </w:rPr>
        <w:t>状态变化相关的多巴胺。多巴胺反映</w:t>
      </w:r>
      <w:r>
        <w:rPr>
          <w:rFonts w:hint="eastAsia"/>
          <w:lang w:val="en-US" w:eastAsia="zh-CN"/>
        </w:rPr>
        <w:t>了</w:t>
      </w:r>
      <w:r>
        <w:rPr>
          <w:rFonts w:hint="eastAsia"/>
          <w:lang w:eastAsia="zh-CN"/>
        </w:rPr>
        <w:t>潜在的奖励价值并促进Go</w:t>
      </w:r>
      <w:r>
        <w:rPr>
          <w:rFonts w:hint="eastAsia"/>
          <w:lang w:val="en-US" w:eastAsia="zh-CN"/>
        </w:rPr>
        <w:t>行为</w:t>
      </w:r>
      <w:r>
        <w:rPr>
          <w:rFonts w:hint="eastAsia"/>
          <w:lang w:eastAsia="zh-CN"/>
        </w:rPr>
        <w:t>。此外，文中的模型表明，虽然选择性响应抑制受到多巴胺（DA）水平的影响，但全局响应抑制却没有。</w:t>
      </w:r>
    </w:p>
    <w:p>
      <w:pPr>
        <w:ind w:firstLine="420" w:firstLineChars="200"/>
        <w:rPr>
          <w:rFonts w:hint="eastAsia"/>
          <w:lang w:eastAsia="zh-CN"/>
        </w:rPr>
      </w:pPr>
      <w:r>
        <w:rPr>
          <w:rFonts w:hint="eastAsia"/>
          <w:lang w:eastAsia="zh-CN"/>
        </w:rPr>
        <w:t>•文中的模型在克服优先</w:t>
      </w:r>
      <w:r>
        <w:rPr>
          <w:rFonts w:hint="eastAsia"/>
          <w:lang w:val="en-US" w:eastAsia="zh-CN"/>
        </w:rPr>
        <w:t>行为</w:t>
      </w:r>
      <w:r>
        <w:rPr>
          <w:rFonts w:hint="eastAsia"/>
          <w:lang w:eastAsia="zh-CN"/>
        </w:rPr>
        <w:t>响应方面</w:t>
      </w:r>
      <w:r>
        <w:rPr>
          <w:rFonts w:hint="eastAsia"/>
          <w:lang w:val="en-US" w:eastAsia="zh-CN"/>
        </w:rPr>
        <w:t>经受测试</w:t>
      </w:r>
      <w:r>
        <w:rPr>
          <w:rFonts w:hint="eastAsia"/>
          <w:lang w:eastAsia="zh-CN"/>
        </w:rPr>
        <w:t>，并通过</w:t>
      </w:r>
      <w:r>
        <w:rPr>
          <w:rFonts w:hint="eastAsia"/>
          <w:lang w:val="en-US" w:eastAsia="zh-CN"/>
        </w:rPr>
        <w:t>相似</w:t>
      </w:r>
      <w:r>
        <w:rPr>
          <w:rFonts w:hint="eastAsia"/>
          <w:lang w:eastAsia="zh-CN"/>
        </w:rPr>
        <w:t>文献中报道的关键定性模式进行评估，包括：</w:t>
      </w:r>
    </w:p>
    <w:p>
      <w:pPr>
        <w:ind w:firstLine="420" w:firstLineChars="200"/>
        <w:rPr>
          <w:rFonts w:hint="eastAsia"/>
          <w:lang w:eastAsia="zh-CN"/>
        </w:rPr>
      </w:pPr>
      <w:r>
        <w:rPr>
          <w:rFonts w:hint="eastAsia"/>
          <w:lang w:eastAsia="zh-CN"/>
        </w:rPr>
        <w:t xml:space="preserve"> - 选择性响应抑制任务中的行为RT分布模式。</w:t>
      </w:r>
    </w:p>
    <w:p>
      <w:pPr>
        <w:ind w:firstLine="420" w:firstLineChars="200"/>
        <w:rPr>
          <w:rFonts w:hint="eastAsia"/>
          <w:lang w:eastAsia="zh-CN"/>
        </w:rPr>
      </w:pPr>
      <w:r>
        <w:rPr>
          <w:rFonts w:hint="eastAsia"/>
          <w:lang w:eastAsia="zh-CN"/>
        </w:rPr>
        <w:t xml:space="preserve"> -  FEF（Everling＆Munoz，2000）， pre-SMA（Hikosaka＆Isoda，2008），STN（Isoda＆Hikosaka，2008），纹状体（Watanabe＆Mu-noz，2009），上丘（ SC;Paré＆Hanes，2003; Pouget等，2011）和头皮记录（Yeung，Botvinick，＆Cohen，2004）的电生理活动模式。</w:t>
      </w:r>
    </w:p>
    <w:p>
      <w:pPr>
        <w:ind w:firstLine="420" w:firstLineChars="200"/>
        <w:rPr>
          <w:rFonts w:hint="eastAsia"/>
          <w:lang w:eastAsia="zh-CN"/>
        </w:rPr>
      </w:pPr>
      <w:r>
        <w:rPr>
          <w:rFonts w:hint="eastAsia"/>
          <w:lang w:eastAsia="zh-CN"/>
        </w:rPr>
        <w:t xml:space="preserve"> - 额叶功能和DA调节的精神病学，发育，病变和药理学操作。</w:t>
      </w:r>
    </w:p>
    <w:p>
      <w:pPr>
        <w:ind w:firstLine="420" w:firstLineChars="200"/>
        <w:rPr>
          <w:rFonts w:hint="eastAsia"/>
          <w:lang w:eastAsia="zh-CN"/>
        </w:rPr>
      </w:pPr>
      <w:r>
        <w:rPr>
          <w:rFonts w:hint="eastAsia"/>
          <w:lang w:eastAsia="zh-CN"/>
        </w:rPr>
        <w:t>•</w:t>
      </w:r>
      <w:r>
        <w:rPr>
          <w:rFonts w:hint="eastAsia"/>
          <w:lang w:val="en-US" w:eastAsia="zh-CN"/>
        </w:rPr>
        <w:t>文章</w:t>
      </w:r>
      <w:r>
        <w:rPr>
          <w:rFonts w:hint="eastAsia"/>
          <w:lang w:eastAsia="zh-CN"/>
        </w:rPr>
        <w:t>表明，当模型扩展到包含rIFG时，它可以</w:t>
      </w:r>
      <w:r>
        <w:rPr>
          <w:rFonts w:hint="eastAsia"/>
          <w:lang w:val="en-US" w:eastAsia="zh-CN"/>
        </w:rPr>
        <w:t>再现</w:t>
      </w:r>
      <w:r>
        <w:rPr>
          <w:rFonts w:hint="eastAsia"/>
          <w:lang w:eastAsia="zh-CN"/>
        </w:rPr>
        <w:t>停止信号任务文献中关键的电生理和行为数据。</w:t>
      </w:r>
    </w:p>
    <w:p>
      <w:pPr>
        <w:ind w:firstLine="420" w:firstLineChars="200"/>
        <w:rPr>
          <w:rFonts w:hint="eastAsia"/>
          <w:lang w:eastAsia="zh-CN"/>
        </w:rPr>
      </w:pPr>
      <w:r>
        <w:rPr>
          <w:rFonts w:hint="eastAsia"/>
          <w:lang w:eastAsia="zh-CN"/>
        </w:rPr>
        <w:t>总之，这种方法提供了对认知控制和执行功能的主要方面的</w:t>
      </w:r>
      <w:r>
        <w:rPr>
          <w:rFonts w:hint="eastAsia"/>
          <w:lang w:val="en-US" w:eastAsia="zh-CN"/>
        </w:rPr>
        <w:t>系统</w:t>
      </w:r>
      <w:r>
        <w:rPr>
          <w:rFonts w:hint="eastAsia"/>
          <w:lang w:eastAsia="zh-CN"/>
        </w:rPr>
        <w:t>说明，</w:t>
      </w:r>
      <w:r>
        <w:rPr>
          <w:rFonts w:hint="eastAsia"/>
          <w:lang w:val="en-US" w:eastAsia="zh-CN"/>
        </w:rPr>
        <w:t>我们</w:t>
      </w:r>
      <w:r>
        <w:rPr>
          <w:rFonts w:hint="eastAsia"/>
          <w:lang w:eastAsia="zh-CN"/>
        </w:rPr>
        <w:t>希望这将有助于更深入地理解行为，成像和患者</w:t>
      </w:r>
      <w:r>
        <w:rPr>
          <w:rFonts w:hint="eastAsia"/>
          <w:lang w:val="en-US" w:eastAsia="zh-CN"/>
        </w:rPr>
        <w:t>案例</w:t>
      </w:r>
      <w:r>
        <w:rPr>
          <w:rFonts w:hint="eastAsia"/>
          <w:lang w:eastAsia="zh-CN"/>
        </w:rPr>
        <w:t>之间的关系。</w:t>
      </w:r>
    </w:p>
    <w:p>
      <w:pPr>
        <w:ind w:firstLine="602" w:firstLineChars="200"/>
        <w:jc w:val="center"/>
        <w:rPr>
          <w:rFonts w:hint="eastAsia"/>
          <w:b/>
          <w:bCs/>
          <w:sz w:val="30"/>
          <w:szCs w:val="30"/>
          <w:lang w:eastAsia="zh-CN"/>
        </w:rPr>
      </w:pPr>
      <w:r>
        <w:rPr>
          <w:rFonts w:hint="eastAsia"/>
          <w:b/>
          <w:bCs/>
          <w:sz w:val="30"/>
          <w:szCs w:val="30"/>
          <w:lang w:eastAsia="zh-CN"/>
        </w:rPr>
        <w:t>神经网络模型</w:t>
      </w:r>
    </w:p>
    <w:p>
      <w:pPr>
        <w:ind w:firstLine="420" w:firstLineChars="200"/>
        <w:rPr>
          <w:rFonts w:hint="eastAsia"/>
          <w:lang w:eastAsia="zh-CN"/>
        </w:rPr>
      </w:pPr>
      <w:r>
        <w:rPr>
          <w:rFonts w:hint="eastAsia"/>
          <w:lang w:eastAsia="zh-CN"/>
        </w:rPr>
        <w:t>我们首先介绍了多</w:t>
      </w:r>
      <w:r>
        <w:rPr>
          <w:rFonts w:hint="eastAsia"/>
          <w:lang w:val="en-US" w:eastAsia="zh-CN"/>
        </w:rPr>
        <w:t>种</w:t>
      </w:r>
      <w:r>
        <w:rPr>
          <w:rFonts w:hint="eastAsia"/>
          <w:lang w:eastAsia="zh-CN"/>
        </w:rPr>
        <w:t>额叶和基底神经节之间动态作用的神经回路模型及其多巴胺调节。然后，我们描述了我们如何改变模型参数以捕获生物和认知操作</w:t>
      </w:r>
      <w:r>
        <w:rPr>
          <w:rFonts w:hint="eastAsia"/>
          <w:lang w:val="en-US" w:eastAsia="zh-CN"/>
        </w:rPr>
        <w:t>模式</w:t>
      </w:r>
      <w:r>
        <w:rPr>
          <w:rFonts w:hint="eastAsia"/>
          <w:lang w:eastAsia="zh-CN"/>
        </w:rPr>
        <w:t>。</w:t>
      </w:r>
    </w:p>
    <w:p>
      <w:pPr>
        <w:rPr>
          <w:rFonts w:hint="eastAsia"/>
          <w:b/>
          <w:bCs/>
          <w:sz w:val="30"/>
          <w:szCs w:val="30"/>
          <w:lang w:val="en-US" w:eastAsia="zh-CN"/>
        </w:rPr>
      </w:pPr>
      <w:r>
        <w:rPr>
          <w:rFonts w:hint="eastAsia"/>
          <w:b/>
          <w:bCs/>
          <w:sz w:val="30"/>
          <w:szCs w:val="30"/>
          <w:lang w:val="en-US" w:eastAsia="zh-CN"/>
        </w:rPr>
        <w:t>概括</w:t>
      </w:r>
    </w:p>
    <w:p>
      <w:pPr>
        <w:ind w:firstLine="420" w:firstLineChars="200"/>
        <w:rPr>
          <w:rFonts w:hint="eastAsia"/>
          <w:lang w:val="en-US" w:eastAsia="zh-CN"/>
        </w:rPr>
      </w:pPr>
      <w:r>
        <w:rPr>
          <w:rFonts w:hint="eastAsia"/>
          <w:lang w:val="en-US" w:eastAsia="zh-CN"/>
        </w:rPr>
        <w:t>该模型在Emergent软件（Aisa，Mingus，＆O'Reilly，2008）中实施，其神经元参数被调整为不同区域的已知生理特性（Frank，2005,2006）。模拟神经元使用具有特定通道电导（激发，抑制和泄漏）进行编码拟合的泄漏整合发放神经元（以下称为单位）。多个单元（模拟神经元）被组合为层对应于大脑的不同解剖区域。每层中的单元投射到下游区域中的单元，并且在某些情况下，根据解剖学，存在双向投影（例如，自下而上的上丘投影到皮质以及自上而下的皮质投影到下丘）。我们总结了模型的一般功能，从而能够直观的理解。实施步骤和计算细节可以在附录中找到。尽管文中使用单组核心参数（比如整体动态和层之间的整体连接强度）来模拟完整状态中的各种电生理学和行为数据，但是每个报告的模拟是在各个神经元之间初始权重随机化的8个不同网络上测试。该模型可以从我们的在线存储库下载http://ski.clps.brown.edu/ BG_Projects。</w:t>
      </w:r>
    </w:p>
    <w:p>
      <w:pPr>
        <w:ind w:firstLine="420" w:firstLineChars="200"/>
        <w:rPr>
          <w:rFonts w:hint="eastAsia"/>
          <w:lang w:val="en-US" w:eastAsia="zh-CN"/>
        </w:rPr>
      </w:pPr>
      <w:r>
        <w:rPr>
          <w:rFonts w:hint="eastAsia"/>
          <w:lang w:val="en-US" w:eastAsia="zh-CN"/>
        </w:rPr>
        <w:t>该模型是先前所建立的BG模型的扩展（Frank，2005,2006; Wiecki＆Frank，2010b）。由于扩展模型涉及多个组件，因此我们逐步引入每个组件，描述每个新组件的核心以及其如何提供其他功能。</w:t>
      </w:r>
    </w:p>
    <w:p>
      <w:pPr>
        <w:rPr>
          <w:rFonts w:hint="eastAsia"/>
          <w:b/>
          <w:bCs/>
          <w:sz w:val="30"/>
          <w:szCs w:val="30"/>
          <w:lang w:val="en-US" w:eastAsia="zh-CN"/>
        </w:rPr>
      </w:pPr>
      <w:r>
        <w:rPr>
          <w:rFonts w:hint="eastAsia"/>
          <w:b/>
          <w:bCs/>
          <w:sz w:val="30"/>
          <w:szCs w:val="30"/>
          <w:lang w:val="en-US" w:eastAsia="zh-CN"/>
        </w:rPr>
        <w:t>基础的基底神经节模型</w:t>
      </w:r>
    </w:p>
    <w:p>
      <w:pPr>
        <w:ind w:firstLine="420" w:firstLineChars="200"/>
        <w:rPr>
          <w:rFonts w:hint="eastAsia"/>
          <w:lang w:val="en-US" w:eastAsia="zh-CN"/>
        </w:rPr>
      </w:pPr>
      <w:r>
        <w:rPr>
          <w:rFonts w:hint="eastAsia"/>
          <w:lang w:val="en-US" w:eastAsia="zh-CN"/>
        </w:rPr>
        <w:t>该模型的核心架构类似于Frank（2006）。根据Hikosaka（2007）和Munoz、Everling（2004）所描述的快速眼动（即眼跳）下的神经解剖学和生理学进行略微调整。刺激在输入层呈现给网络，对应于传感皮层表示。输入层直接投射到额叶眼区域（FEF）中的皮质响应单元，接着额叶眼区域进行行动计划和监测，并投射到上丘（SC），其作为生成扫视的输出（Sparks，2002）。SC由两个编码为向左和向右扫视的单元组成。如果一个单位的射击强度超过阈值，则启动相应的扫视（Everling，Dorris，Klein，＆Munoz，1999）。试验开始后，SC单位超过其阈值所花费的时间被视为网络的响应时间（RT）。模型可以通过改变投影强度（即，权重）来使某种响应刺激具有优先权，从而使得某些输入模式相比于其他单元，优先启用这组FEF响应单元。（这些传感运动皮质权重也可以从经验中学习获得，这样在某种传感刺激下，它们能反映出时选择某种特定响应的先验概率[Frank，2006]）事实上，只有具有这三种结构，Frank模型才能够进行精确的，灵活的响应。</w:t>
      </w:r>
    </w:p>
    <w:p>
      <w:pPr>
        <w:ind w:firstLine="420" w:firstLineChars="200"/>
        <w:rPr>
          <w:rFonts w:hint="eastAsia"/>
          <w:lang w:val="en-US" w:eastAsia="zh-CN"/>
        </w:rPr>
      </w:pPr>
      <w:r>
        <w:rPr>
          <w:rFonts w:hint="eastAsia"/>
          <w:lang w:val="en-US" w:eastAsia="zh-CN"/>
        </w:rPr>
        <w:t>FEF的自身活化不足以引发扫视产生，因为存在额外抑制SC的BG输出神经元：黑质网状部（SNr），其神经元高强度发射以抑制SC。然而，在相对应的直接（Go）途径纹状体单位激活后，SNr对SC的抑制被消除了，即该纹状体单位抑制了SNr，从而释放了SC（Goldberg，Farries，＆Fee，2012; Hikosaka，1989; Hikosaka，Takikawa， ＆Kawagoe，2000）。间接途径（NoGo）与直接途径（Go）相反，其进一步激发SNr（以间接的方式，对抑制SNr的苍白球外部GPe的进行抑制性投射）。因此，直接途径的活跃将促进扫视产生（比如Go），而间接途径的活跃将阻止扫视产生（比如NoGo）。</w:t>
      </w:r>
    </w:p>
    <w:p>
      <w:pPr>
        <w:ind w:firstLine="420" w:firstLineChars="200"/>
        <w:rPr>
          <w:rFonts w:hint="eastAsia"/>
          <w:lang w:val="en-US" w:eastAsia="zh-CN"/>
        </w:rPr>
      </w:pPr>
      <w:r>
        <w:rPr>
          <w:rFonts w:hint="eastAsia"/>
          <w:lang w:val="en-US" w:eastAsia="zh-CN"/>
        </w:rPr>
        <w:t>Go和NoGo纹状体群体包括多个单元，这些单元在给定传感输入条件下编码FEF候选动作的正面和负面信息。由于两种途径上分别存在模拟不同的D1和D2受体，在黑质致密部（SNc）的多巴胺神经调节下，纹状体两种途径会有相对不同的活性。特别的，多巴胺会激发Go单位，同时抑制NoGo单位。这些过程也会影响不同行为对应的纹状体群体的活性，在奖励期间阶段性多巴胺爆发后，Go群体中的皮质纹状体突触强度增加，而NoGo群体中的相应减少（反之亦然;弗兰克，2005年）。为简单起见，在本模型中，我们省略了学习过程，因为我们模拟的范例不涉及学习，而是专注于已经学习完成的模型。</w:t>
      </w:r>
    </w:p>
    <w:p>
      <w:pPr>
        <w:ind w:firstLine="420" w:firstLineChars="200"/>
        <w:rPr>
          <w:rFonts w:hint="eastAsia"/>
          <w:lang w:val="en-US" w:eastAsia="zh-CN"/>
        </w:rPr>
      </w:pPr>
      <w:r>
        <w:rPr>
          <w:rFonts w:hint="eastAsia"/>
          <w:highlight w:val="none"/>
          <w:lang w:val="en-US" w:eastAsia="zh-CN"/>
        </w:rPr>
        <w:t>从SC到FEF的</w:t>
      </w:r>
      <w:r>
        <w:rPr>
          <w:rFonts w:hint="eastAsia"/>
          <w:lang w:val="en-US" w:eastAsia="zh-CN"/>
        </w:rPr>
        <w:t>自下而上的投射能够让行动计划可以根据直接和间接途径的活跃度进行调节（Sommer＆Wurtz，2002,2004a，2004b，2006）。这可以有效地形成如下闭环：其中FEF调节纹状体，纹状体通过SNr和SC上的门控反过来调节FEF。严格来说，FEF考虑备选响应并且“询问”BG备选行动是否应该通过门控。因此，利用这些结构，模型可以选择性地让响应通过门控。</w:t>
      </w:r>
    </w:p>
    <w:p>
      <w:pPr>
        <w:ind w:firstLine="420" w:firstLineChars="200"/>
        <w:rPr>
          <w:rFonts w:hint="eastAsia"/>
          <w:lang w:val="en-US" w:eastAsia="zh-CN"/>
        </w:rPr>
      </w:pPr>
      <w:r>
        <w:rPr>
          <w:rFonts w:hint="eastAsia"/>
          <w:lang w:val="en-US" w:eastAsia="zh-CN"/>
        </w:rPr>
        <w:t>除了上述动态门控系统之外，门控的整体阈值通过纹状体Go单对位SNr单位的抑制进行控制。STN向SNr发送发散性刺激投射（Parent＆Hazrati，1995），因此当STN单位处于活跃状态时，它们会增加所有响应的门控阈值，从而有效产生“全局NoGo”信号（Frank，2006; Ratcliff＆Frank，2012）。然而，STN并不导致阈值的静态增加。相反，STN直接从额叶皮层接收输入，并且早期响应选择过程中，在响应冲突（或选择问题）发生时变得更加活跃。在当前模型中，冲突是由大脑</w:t>
      </w:r>
      <w:r>
        <w:rPr>
          <w:rFonts w:hint="default"/>
          <w:lang w:val="en-US" w:eastAsia="zh-CN"/>
        </w:rPr>
        <w:t>前扣带背回</w:t>
      </w:r>
      <w:r>
        <w:rPr>
          <w:rFonts w:hint="eastAsia"/>
          <w:lang w:val="en-US" w:eastAsia="zh-CN"/>
        </w:rPr>
        <w:t>（dACC）明确计算的，其检测何时多个竞争性的FEF响应单元被同时激活，并且反过来激活STN以使得所有响应更难更难通过门控，直到此冲突得到解决。dACC的完整计算模型尚未解决，可能比冲突检测和控制更复杂（参见，例如，Alex-ander＆Brown，2011; Botvinick，Cohen，＆Carter，2004; Holroyd＆Coles，2002; Kolling，Behrens，Mars，＆Rushworth，2012）。然而，dACC的部分功能函数（Kolling等，2012）与我们的模型完全兼容。</w:t>
      </w:r>
    </w:p>
    <w:p>
      <w:pPr>
        <w:rPr>
          <w:rFonts w:hint="eastAsia"/>
          <w:b/>
          <w:bCs/>
          <w:sz w:val="30"/>
          <w:szCs w:val="30"/>
          <w:lang w:val="en-US" w:eastAsia="zh-CN"/>
        </w:rPr>
      </w:pPr>
      <w:r>
        <w:rPr>
          <w:rFonts w:hint="eastAsia"/>
          <w:b/>
          <w:bCs/>
          <w:sz w:val="30"/>
          <w:szCs w:val="30"/>
          <w:lang w:val="en-US" w:eastAsia="zh-CN"/>
        </w:rPr>
        <w:t>额叶通路模型</w:t>
      </w:r>
    </w:p>
    <w:p>
      <w:pPr>
        <w:rPr>
          <w:rFonts w:hint="eastAsia"/>
          <w:b/>
          <w:bCs/>
          <w:lang w:val="en-US" w:eastAsia="zh-CN"/>
        </w:rPr>
      </w:pPr>
      <w:r>
        <w:rPr>
          <w:rFonts w:hint="eastAsia"/>
          <w:b/>
          <w:bCs/>
          <w:lang w:val="en-US" w:eastAsia="zh-CN"/>
        </w:rPr>
        <w:t>意志响应选择。</w:t>
      </w:r>
    </w:p>
    <w:p>
      <w:pPr>
        <w:ind w:firstLine="420" w:firstLineChars="200"/>
        <w:rPr>
          <w:rFonts w:hint="eastAsia"/>
          <w:lang w:val="en-US" w:eastAsia="zh-CN"/>
        </w:rPr>
      </w:pPr>
      <w:r>
        <w:rPr>
          <w:rFonts w:hint="eastAsia"/>
          <w:lang w:val="en-US" w:eastAsia="zh-CN"/>
        </w:rPr>
        <w:t>基础的基底神经节结构下，模型能够选择（或通过）响应并且当其他候选响应与初始优先响应起冲突时，减慢所有响应通过门控的过程。</w:t>
      </w:r>
    </w:p>
    <w:p>
      <w:pPr>
        <w:ind w:firstLine="420" w:firstLineChars="200"/>
        <w:rPr>
          <w:rFonts w:hint="eastAsia"/>
          <w:lang w:val="en-US" w:eastAsia="zh-CN"/>
        </w:rPr>
      </w:pPr>
      <w:r>
        <w:rPr>
          <w:rFonts w:hint="eastAsia"/>
          <w:lang w:val="en-US" w:eastAsia="zh-CN"/>
        </w:rPr>
        <w:t>然而，选择性响应抑制任务（SRIT）需要一种执行控制机制：将传感状态与任务规则结合起来，不仅要抑制优先响应，而且要用另一个意志响应来代替它。这种基于规则的处理过程是费力费时的，因此受控响应过程慢于初始快速响应过程。在种种现象下，我们将基于规则的表示归因于背外侧前额叶皮层（DLPFC）（例如，Chambers，Garavan和Bellgrove，2009; Miller＆Cohen，2001）。这种结构涉及对刺激响应规则表示的主动维持（Brass，Derrfuss，Forstmann，＆von Cramon，2005; Derrfuss，Brass，Neumann，＆von Cramon，2005; Derrfuss，Brass，＆von Cramon，2004），（这在正确的反扫视试验是必要的）（Fu-nahashi等，1993; Johnston和Everling，2006; Wegener等，2008），并参与选择性响应抑制（Garavan，Hester，Murphy，Fassbender，＆Kelly） ，2006; Simmonds，Pekar，＆Mostofsky，2008）和响应选择（Braver，Barch，Gray，Molfese，＆Snyder，2001; Rowe，Friston，Frackowiak，＆Passing-ham，2002）。此外，SEF（Schlag-Rey等，1997）和 pre-SMA（Isoda＆Hikosaka，2007; Ridderinkhof，Forstmann，Wylie，Burle，＆van den Wildenberg，2011）对于SRIT的性能也很重要。</w:t>
      </w:r>
    </w:p>
    <w:p>
      <w:pPr>
        <w:ind w:firstLine="420" w:firstLineChars="200"/>
        <w:rPr>
          <w:rFonts w:hint="eastAsia"/>
          <w:lang w:val="en-US" w:eastAsia="zh-CN"/>
        </w:rPr>
      </w:pPr>
      <w:r>
        <w:rPr>
          <w:rFonts w:hint="eastAsia"/>
          <w:lang w:val="en-US" w:eastAsia="zh-CN"/>
        </w:rPr>
        <w:t>因此，我们添加了一个抽象的执行控制层：总结DLPFC，SEF和pre-SMA功能的复合体（之后简称为DLPFC）。该层根据任务规则选择FEF内的响应并刺激其通过BG门控（参见图1）。虽然未在模型体系结构中单独明确表示，但我们将DLPFC的个体贡献概括为规则编码和抽象动作选择，而SEF和pre-SMA将这种抽象动作表示转换为具体的运动行为（Curtis＆D'Esposito，2003; Schlag-Rey等，1997; Schlag-Rey＆Schlag，1984）。反过来，优势行为可以影响FEF中选择的响应情况，并通过对纹状体Go和NoGo神经元的投射来提高自身通过门控的可能性（Munoz和Everling，2004）。</w:t>
      </w:r>
    </w:p>
    <w:p>
      <w:pPr>
        <w:ind w:firstLine="420" w:firstLineChars="200"/>
      </w:pPr>
      <w:r>
        <w:drawing>
          <wp:inline distT="0" distB="0" distL="114300" distR="114300">
            <wp:extent cx="3378200" cy="3145155"/>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378200" cy="3145155"/>
                    </a:xfrm>
                    <a:prstGeom prst="rect">
                      <a:avLst/>
                    </a:prstGeom>
                    <a:noFill/>
                    <a:ln w="9525">
                      <a:noFill/>
                    </a:ln>
                  </pic:spPr>
                </pic:pic>
              </a:graphicData>
            </a:graphic>
          </wp:inline>
        </w:drawing>
      </w:r>
    </w:p>
    <w:p>
      <w:pPr>
        <w:ind w:firstLine="420" w:firstLineChars="200"/>
        <w:rPr>
          <w:rFonts w:hint="eastAsia"/>
          <w:lang w:val="en-US" w:eastAsia="zh-CN"/>
        </w:rPr>
      </w:pPr>
      <w:r>
        <w:rPr>
          <w:rFonts w:hint="eastAsia"/>
          <w:lang w:val="en-US" w:eastAsia="zh-CN"/>
        </w:rPr>
        <w:t>图1.神经网络模型的简单视图。传感输入层投射到额叶眼区域（FEF），纹状体和执行控制区（即，背外侧前额叶皮层[DLPFC]，辅助眼部区域[SEF]和前辅助运动皮质[pre-SMA]）。通过直接投射到FEF（即，皮质间的通路），刺激-响应-投射可以变得固定（习惯化）。FEF对上丘（SC）输出层有兴奋性投射，一旦超过阈值就会执行扫视。然而，在基础条件下，SC受到活跃的黑质网状部（SNr）单位的抑制。因此，为了让SC单位兴奋起来，相应的SNr单位必须被纹状体直接途径Go群体刺激抑制。相反，通过从纹状体到苍白球（GP）再到SNr的间接抑制性投射，纹状体NoGo的活性可以选择性地抑制响应。互斥的FEF响应单元的同时激活会导致前扣带背回（dACC）活跃（选择问题或冲突），进而激活丘脑底核（STN）。在选择冲突解决之前，STN的激活通过对SNr的兴奋性投射使得响应难以通过门控，从而有效地提高了门控阈值。黑质致密部（SNc）的多巴胺（DA）支配纹状体，同时按照奖励值成比例地提高Go的活跃度，并且让系统知道哪些动作该被通过以及哪些动作该被抑制。指示层代表抽象任务规则提示（例如，反扫视试验）。DLPFC通过激活FEF和纹状体中的某些单位，整合任务提示与传感输入（比如，刺激位置）以启动任务规则下的受控响应。R1为响应行动1; R2为响应行动2; ACC为扣带前回; GPe为苍白球的外部部分。</w:t>
      </w:r>
    </w:p>
    <w:p>
      <w:pPr>
        <w:ind w:firstLine="420" w:firstLineChars="200"/>
        <w:rPr>
          <w:rFonts w:hint="eastAsia"/>
          <w:lang w:val="en-US" w:eastAsia="zh-CN"/>
        </w:rPr>
      </w:pPr>
    </w:p>
    <w:p>
      <w:pPr>
        <w:numPr>
          <w:ilvl w:val="0"/>
          <w:numId w:val="0"/>
        </w:numPr>
        <w:tabs>
          <w:tab w:val="left" w:pos="226"/>
        </w:tabs>
        <w:spacing w:after="0" w:line="252" w:lineRule="auto"/>
        <w:ind w:firstLine="420" w:firstLineChars="200"/>
        <w:jc w:val="both"/>
        <w:rPr>
          <w:rFonts w:hint="eastAsia"/>
          <w:lang w:val="en-US" w:eastAsia="zh-CN"/>
        </w:rPr>
      </w:pPr>
      <w:r>
        <w:rPr>
          <w:rFonts w:hint="eastAsia"/>
          <w:lang w:val="en-US" w:eastAsia="zh-CN"/>
        </w:rPr>
        <w:t xml:space="preserve">解剖学和功能学研究分析了DLPFC对SEF、pre-SMA（Lu，Preston，＆Strick，1994; Y.Wang，Isoda，Matsuzaka，Shima，＆Tanji，2005）和纹状体的投射（Doll， Jacobs，Sanfey和Frank，2009; Frank＆Badre，2012; Haber，2003），以及SEF对FEF的投射（Huerta，Krubitzer，＆Kaas，1987）。我们探讨这些投射如何影响响应选择的动态变化。但是我们模型中的执行控制器如何“知道”激活哪个规则？我们这里没有讨论模型是如何通过学习产生这些规则表示，这是PFC-BG建模研究的重点 (see </w:t>
      </w:r>
      <w:r>
        <w:rPr>
          <w:rFonts w:hint="eastAsia"/>
          <w:lang w:val="en-US" w:eastAsia="zh-CN"/>
        </w:rPr>
        <w:fldChar w:fldCharType="begin"/>
      </w:r>
      <w:r>
        <w:rPr>
          <w:rFonts w:hint="eastAsia"/>
          <w:lang w:val="en-US" w:eastAsia="zh-CN"/>
        </w:rPr>
        <w:instrText xml:space="preserve"> HYPERLINK \l "page21" \h </w:instrText>
      </w:r>
      <w:r>
        <w:rPr>
          <w:rFonts w:hint="eastAsia"/>
          <w:lang w:val="en-US" w:eastAsia="zh-CN"/>
        </w:rPr>
        <w:fldChar w:fldCharType="separate"/>
      </w:r>
      <w:r>
        <w:rPr>
          <w:rFonts w:hint="eastAsia"/>
          <w:lang w:val="en-US" w:eastAsia="zh-CN"/>
        </w:rPr>
        <w:t>Collins</w:t>
      </w:r>
      <w:r>
        <w:rPr>
          <w:rFonts w:hint="eastAsia"/>
          <w:lang w:val="en-US" w:eastAsia="zh-CN"/>
        </w:rPr>
        <w:fldChar w:fldCharType="end"/>
      </w:r>
      <w:r>
        <w:rPr>
          <w:rFonts w:hint="eastAsia"/>
          <w:lang w:val="en-US" w:eastAsia="zh-CN"/>
        </w:rPr>
        <w:t>&amp;</w:t>
      </w:r>
      <w:r>
        <w:rPr>
          <w:rFonts w:hint="eastAsia"/>
          <w:lang w:val="en-US" w:eastAsia="zh-CN"/>
        </w:rPr>
        <w:fldChar w:fldCharType="begin"/>
      </w:r>
      <w:r>
        <w:rPr>
          <w:rFonts w:hint="eastAsia"/>
          <w:lang w:val="en-US" w:eastAsia="zh-CN"/>
        </w:rPr>
        <w:instrText xml:space="preserve"> HYPERLINK \l "page21" \h </w:instrText>
      </w:r>
      <w:r>
        <w:rPr>
          <w:rFonts w:hint="eastAsia"/>
          <w:lang w:val="en-US" w:eastAsia="zh-CN"/>
        </w:rPr>
        <w:fldChar w:fldCharType="separate"/>
      </w:r>
      <w:r>
        <w:rPr>
          <w:rFonts w:hint="eastAsia"/>
          <w:lang w:val="en-US" w:eastAsia="zh-CN"/>
        </w:rPr>
        <w:t>Frank, 2012</w:t>
      </w:r>
      <w:r>
        <w:rPr>
          <w:rFonts w:hint="eastAsia"/>
          <w:lang w:val="en-US" w:eastAsia="zh-CN"/>
        </w:rPr>
        <w:fldChar w:fldCharType="end"/>
      </w:r>
      <w:r>
        <w:rPr>
          <w:rFonts w:hint="eastAsia"/>
          <w:lang w:val="en-US" w:eastAsia="zh-CN"/>
        </w:rPr>
        <w:t xml:space="preserve">; </w:t>
      </w:r>
      <w:r>
        <w:rPr>
          <w:rFonts w:hint="eastAsia"/>
          <w:lang w:val="en-US" w:eastAsia="zh-CN"/>
        </w:rPr>
        <w:fldChar w:fldCharType="begin"/>
      </w:r>
      <w:r>
        <w:rPr>
          <w:rFonts w:hint="eastAsia"/>
          <w:lang w:val="en-US" w:eastAsia="zh-CN"/>
        </w:rPr>
        <w:instrText xml:space="preserve"> HYPERLINK \l "page21" \h </w:instrText>
      </w:r>
      <w:r>
        <w:rPr>
          <w:rFonts w:hint="eastAsia"/>
          <w:lang w:val="en-US" w:eastAsia="zh-CN"/>
        </w:rPr>
        <w:fldChar w:fldCharType="separate"/>
      </w:r>
      <w:r>
        <w:rPr>
          <w:rFonts w:hint="eastAsia"/>
          <w:lang w:val="en-US" w:eastAsia="zh-CN"/>
        </w:rPr>
        <w:t>Frank &amp; Badre, 2012</w:t>
      </w:r>
      <w:r>
        <w:rPr>
          <w:rFonts w:hint="eastAsia"/>
          <w:lang w:val="en-US" w:eastAsia="zh-CN"/>
        </w:rPr>
        <w:fldChar w:fldCharType="end"/>
      </w:r>
      <w:r>
        <w:rPr>
          <w:rFonts w:hint="eastAsia"/>
          <w:lang w:val="en-US" w:eastAsia="zh-CN"/>
        </w:rPr>
        <w:t xml:space="preserve">; </w:t>
      </w:r>
      <w:r>
        <w:rPr>
          <w:rFonts w:hint="eastAsia"/>
          <w:lang w:val="en-US" w:eastAsia="zh-CN"/>
        </w:rPr>
        <w:fldChar w:fldCharType="begin"/>
      </w:r>
      <w:r>
        <w:rPr>
          <w:rFonts w:hint="eastAsia"/>
          <w:lang w:val="en-US" w:eastAsia="zh-CN"/>
        </w:rPr>
        <w:instrText xml:space="preserve"> HYPERLINK \l "page24" \h </w:instrText>
      </w:r>
      <w:r>
        <w:rPr>
          <w:rFonts w:hint="eastAsia"/>
          <w:lang w:val="en-US" w:eastAsia="zh-CN"/>
        </w:rPr>
        <w:fldChar w:fldCharType="separate"/>
      </w:r>
      <w:r>
        <w:rPr>
          <w:rFonts w:hint="eastAsia"/>
          <w:lang w:val="en-US" w:eastAsia="zh-CN"/>
        </w:rPr>
        <w:t>Rougier, Noelle, Braver,</w:t>
      </w:r>
      <w:r>
        <w:rPr>
          <w:rFonts w:hint="eastAsia"/>
          <w:lang w:val="en-US" w:eastAsia="zh-CN"/>
        </w:rPr>
        <w:fldChar w:fldCharType="end"/>
      </w:r>
      <w:r>
        <w:rPr>
          <w:rFonts w:hint="eastAsia"/>
          <w:lang w:val="en-US" w:eastAsia="zh-CN"/>
        </w:rPr>
        <w:t xml:space="preserve"> </w:t>
      </w:r>
      <w:r>
        <w:rPr>
          <w:rFonts w:hint="eastAsia"/>
          <w:lang w:val="en-US" w:eastAsia="zh-CN"/>
        </w:rPr>
        <w:fldChar w:fldCharType="begin"/>
      </w:r>
      <w:r>
        <w:rPr>
          <w:rFonts w:hint="eastAsia"/>
          <w:lang w:val="en-US" w:eastAsia="zh-CN"/>
        </w:rPr>
        <w:instrText xml:space="preserve"> HYPERLINK \l "page24" \h </w:instrText>
      </w:r>
      <w:r>
        <w:rPr>
          <w:rFonts w:hint="eastAsia"/>
          <w:lang w:val="en-US" w:eastAsia="zh-CN"/>
        </w:rPr>
        <w:fldChar w:fldCharType="separate"/>
      </w:r>
      <w:r>
        <w:rPr>
          <w:rFonts w:hint="eastAsia"/>
          <w:lang w:val="en-US" w:eastAsia="zh-CN"/>
        </w:rPr>
        <w:t>Cohen, &amp; O’Reilly, 2005</w:t>
      </w:r>
      <w:r>
        <w:rPr>
          <w:rFonts w:hint="eastAsia"/>
          <w:lang w:val="en-US" w:eastAsia="zh-CN"/>
        </w:rPr>
        <w:fldChar w:fldCharType="end"/>
      </w:r>
      <w:r>
        <w:rPr>
          <w:rFonts w:hint="eastAsia"/>
          <w:lang w:val="en-US" w:eastAsia="zh-CN"/>
        </w:rPr>
        <w:t>).。因而，模型学习后，我们仅仅加入指令层作为模型编码任务条件的第二输入层（例如，反扫视试验）来模拟网络的状态。在反扫视任务下，传感输入层对视觉刺激的方向进行编码，同时指令层编码网络是否应该执行扫视或反扫视。接着，DLPFC复合体整合这两个输入并激活（预先指定的）规则单元，规则单位有（i）投射到反扫视情况下的正确FEF响应单元、（ii）激活对应纹状体NoGo单元以防止优先扫视响应通过门控、以及（iii）激活编码受控反扫视的纹状体Go单元。</w:t>
      </w:r>
    </w:p>
    <w:p>
      <w:pPr>
        <w:ind w:firstLine="420" w:firstLineChars="200"/>
        <w:rPr>
          <w:rFonts w:hint="eastAsia"/>
          <w:lang w:val="en-US" w:eastAsia="zh-CN"/>
        </w:rPr>
      </w:pPr>
      <w:r>
        <w:rPr>
          <w:rFonts w:hint="eastAsia"/>
          <w:lang w:val="en-US" w:eastAsia="zh-CN"/>
        </w:rPr>
        <w:t>重要的是，DLPFC单元激活对应的规则单元相对较慢。这是因为需要制定刺激的视觉位置和任务指令之间的联合规则表示（单独一个不足以确定正确的响应，实际上，每个单独的输入都提供了多个潜在的规则信息）。膜电位更新的时间常数相应减少可以支持这种整合，其也旨在减缓规则检索和随后计算的时间以确定正确的动作（通过与pre-SMA和SEF的相互作用）。此外，我们在DLPFC激活动态状态中加入了足够的试验间噪声，这样在某些试验中执行控制可以提前运行。执行控制中的整合速度的减慢和试验间噪声的增加对于模型捕获定量基准结果是必要的（如下所示）。此外，较慢的受控处理也是经典的双重认知模型的核心特征（例如，Sloman，1996），并且增加的噪声符合一般的统计观察，即长时间的潜伏期通常伴随着较大的可变性。</w:t>
      </w:r>
    </w:p>
    <w:p>
      <w:pPr>
        <w:rPr>
          <w:rFonts w:hint="eastAsia"/>
          <w:b/>
          <w:bCs/>
          <w:lang w:val="en-US" w:eastAsia="zh-CN"/>
        </w:rPr>
      </w:pPr>
      <w:r>
        <w:rPr>
          <w:rFonts w:hint="eastAsia"/>
          <w:b/>
          <w:bCs/>
          <w:lang w:val="en-US" w:eastAsia="zh-CN"/>
        </w:rPr>
        <w:t>两种响应选择机制之间的竞争。</w:t>
      </w:r>
    </w:p>
    <w:p>
      <w:pPr>
        <w:ind w:firstLine="420" w:firstLineChars="200"/>
        <w:rPr>
          <w:rFonts w:hint="eastAsia"/>
          <w:lang w:val="en-US" w:eastAsia="zh-CN"/>
        </w:rPr>
      </w:pPr>
      <w:r>
        <w:rPr>
          <w:rFonts w:hint="eastAsia"/>
          <w:lang w:val="en-US" w:eastAsia="zh-CN"/>
        </w:rPr>
        <w:t>如上所述，我们的模型具有两种响应选择机制：（i）由传感输入到FEF的偏置投射驱动的快速的优先机制; （ii）DLPFC整合指令输入和传感输入以选择正确响应的缓慢的意志机制。重要的是，意志机制比优先机制更慢但更强。如果由于整合速度中的噪声，执行控制在某些试验中响应较慢，正确的规则表示可能会迟于优先响应通过门控。相反，当执行控制器响应更快时，它会激活替代行为的FEF响应，导致由冲突引起的减慢，接着通过投射到编码优先扫视的纹状体NoGo单元来有效抑制优先响应。这种概念化的理论可以被视为认知激活抑制模型生物学的合理实现（Ridderinkhof，2002; Ridderinkhof，van den Wildenberg，Segalowitz，＆Carter，2004）。注意到，虽然我们的模型涉及两种抑制机制，但一种是冲突导致全局阈值的提高，另一种是优先响应会被选择性抑制。</w:t>
      </w:r>
    </w:p>
    <w:p>
      <w:pPr>
        <w:ind w:firstLine="420" w:firstLineChars="200"/>
        <w:rPr>
          <w:rFonts w:hint="eastAsia"/>
          <w:lang w:val="en-US" w:eastAsia="zh-CN"/>
        </w:rPr>
      </w:pPr>
    </w:p>
    <w:p>
      <w:pPr>
        <w:rPr>
          <w:rFonts w:hint="eastAsia"/>
          <w:b/>
          <w:bCs/>
          <w:sz w:val="30"/>
          <w:szCs w:val="30"/>
          <w:lang w:val="en-US" w:eastAsia="zh-CN"/>
        </w:rPr>
      </w:pPr>
      <w:r>
        <w:rPr>
          <w:rFonts w:hint="eastAsia"/>
          <w:b/>
          <w:bCs/>
          <w:sz w:val="30"/>
          <w:szCs w:val="30"/>
          <w:lang w:val="en-US" w:eastAsia="zh-CN"/>
        </w:rPr>
        <w:t>选择性响应抑制</w:t>
      </w:r>
    </w:p>
    <w:p>
      <w:pPr>
        <w:rPr>
          <w:rFonts w:hint="eastAsia"/>
          <w:b/>
          <w:bCs/>
          <w:lang w:val="en-US" w:eastAsia="zh-CN"/>
        </w:rPr>
      </w:pPr>
      <w:r>
        <w:rPr>
          <w:rFonts w:hint="eastAsia"/>
          <w:b/>
          <w:bCs/>
          <w:lang w:val="en-US" w:eastAsia="zh-CN"/>
        </w:rPr>
        <w:t>方法</w:t>
      </w:r>
    </w:p>
    <w:p>
      <w:pPr>
        <w:ind w:firstLine="420" w:firstLineChars="200"/>
        <w:rPr>
          <w:rFonts w:hint="eastAsia"/>
          <w:lang w:val="en-US" w:eastAsia="zh-CN"/>
        </w:rPr>
      </w:pPr>
      <w:r>
        <w:rPr>
          <w:rFonts w:hint="eastAsia"/>
          <w:lang w:val="en-US" w:eastAsia="zh-CN"/>
        </w:rPr>
        <w:t>如前所述，所有SRIT都有一个相同的任务结构。（i）通过引发动作诱导优先响应</w:t>
      </w:r>
      <w:r>
        <w:rPr>
          <w:rFonts w:hint="eastAsia"/>
          <w:highlight w:val="yellow"/>
          <w:lang w:val="en-US" w:eastAsia="zh-CN"/>
        </w:rPr>
        <w:t>偏置</w:t>
      </w:r>
      <w:r>
        <w:rPr>
          <w:rFonts w:hint="eastAsia"/>
          <w:lang w:val="en-US" w:eastAsia="zh-CN"/>
        </w:rPr>
        <w:t>。在反扫视任务中，这是一种引起“视觉抓取反射”的刺激出现的结果（Hess，Bürgi，＆Bucher，1946）; 在Simon任务中，这是将目标刺激放置在屏幕两侧，同时启动响应捕获的结果（Ridderinkhof，2002）; 在扫视覆盖的任务中，这是对相同颜色刺激进行重复响应的结果，这使得这种响应具有习惯性。（ii）在一致性试验中，正确的响应与先前偏置的响应相同。（iii）在不一致的试验中，正确的响应与先前偏置的响应不同，并且受试者可以使用执行控制来抑制偏置行为以支持满足任务要求的行为。</w:t>
      </w:r>
    </w:p>
    <w:p>
      <w:pPr>
        <w:ind w:firstLine="420" w:firstLineChars="200"/>
        <w:rPr>
          <w:rFonts w:hint="eastAsia"/>
          <w:lang w:val="en-US" w:eastAsia="zh-CN"/>
        </w:rPr>
      </w:pPr>
      <w:r>
        <w:rPr>
          <w:rFonts w:hint="eastAsia"/>
          <w:lang w:val="en-US" w:eastAsia="zh-CN"/>
        </w:rPr>
        <w:t>我们在神经网络模型中实现了如下的任务结构（</w:t>
      </w:r>
      <w:r>
        <w:rPr>
          <w:rFonts w:hint="eastAsia"/>
          <w:highlight w:val="none"/>
          <w:lang w:val="en-US" w:eastAsia="zh-CN"/>
        </w:rPr>
        <w:t>参见图2;由于能够容纳不同任务之间差异的复杂任务会导致最终模式相似，因此为了得到单独的任务表示，我们简化了过程，使得模拟下面特定任务时具有明显不同的数据模式）</w:t>
      </w:r>
      <w:r>
        <w:rPr>
          <w:rFonts w:hint="eastAsia"/>
          <w:lang w:val="en-US" w:eastAsia="zh-CN"/>
        </w:rPr>
        <w:t>。两个刺激位置（左和右）在输入层中编码为两个不同的激活单元列。通过调整每个输入刺激对应的FEF上响应单位的权重，对目标的优先响应进行强行编码。这种优先权重有助于快速响应一致性试验，但在不一致试验中响应方向错误。DLPFC层整合了传感输入和指令输入，以激活编码传感输入和指令输入的特殊组合的联合表示规则单元，接着投射到FEF中对应的正确响应单元。四个DLPFC单元中的每一个都投射到适当的FEF响应单元。注意到，从DLPFC到FEF的权重比从输入层到FEF的优先响应权重更大，因此DLPFC最终会覆盖错误的优先响应。（仅仅让DLPFC单元达到更高的发射率或拥有更多的单位而不是调整权重，也可以实现相同的功能。）此外，DLPFC单元也会激活纹状体中相应的Go和NoGo单元（例如，在反扫视试验中，编码正确的响应的Go单元和编码不正确响应的NoGo单元都被PFC输入自上而下地激活。</w:t>
      </w:r>
    </w:p>
    <w:p>
      <w:pPr>
        <w:ind w:firstLine="422" w:firstLineChars="200"/>
        <w:jc w:val="center"/>
        <w:rPr>
          <w:rFonts w:hint="eastAsia"/>
          <w:b/>
          <w:bCs/>
          <w:lang w:val="en-US" w:eastAsia="zh-CN"/>
        </w:rPr>
      </w:pPr>
      <w:r>
        <w:rPr>
          <w:rFonts w:hint="eastAsia"/>
          <w:b/>
          <w:bCs/>
          <w:lang w:val="en-US" w:eastAsia="zh-CN"/>
        </w:rPr>
        <w:drawing>
          <wp:inline distT="0" distB="0" distL="114300" distR="114300">
            <wp:extent cx="5022215" cy="2748280"/>
            <wp:effectExtent l="0" t="0" r="698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022215" cy="2748280"/>
                    </a:xfrm>
                    <a:prstGeom prst="rect">
                      <a:avLst/>
                    </a:prstGeom>
                    <a:noFill/>
                    <a:ln w="9525">
                      <a:noFill/>
                    </a:ln>
                  </pic:spPr>
                </pic:pic>
              </a:graphicData>
            </a:graphic>
          </wp:inline>
        </w:drawing>
      </w:r>
    </w:p>
    <w:p>
      <w:pPr>
        <w:rPr>
          <w:rFonts w:hint="eastAsia"/>
          <w:lang w:val="en-US" w:eastAsia="zh-CN"/>
        </w:rPr>
      </w:pPr>
      <w:r>
        <w:rPr>
          <w:rFonts w:hint="eastAsia"/>
          <w:lang w:val="en-US" w:eastAsia="zh-CN"/>
        </w:rPr>
        <w:t>图2.不同任务条件下的神经网络模型。</w:t>
      </w:r>
    </w:p>
    <w:p>
      <w:pPr>
        <w:numPr>
          <w:ilvl w:val="0"/>
          <w:numId w:val="1"/>
        </w:numPr>
        <w:rPr>
          <w:rFonts w:hint="eastAsia"/>
          <w:lang w:val="en-US" w:eastAsia="zh-CN"/>
        </w:rPr>
      </w:pPr>
      <w:r>
        <w:rPr>
          <w:rFonts w:hint="eastAsia"/>
          <w:lang w:val="en-US" w:eastAsia="zh-CN"/>
        </w:rPr>
        <w:t>一致响应任务。（1）左侧刺激呈现在输入层; （2）额叶眼区域（FEF）中，优先权重偏置于左侧响应编码单位; （3）纹状体中左侧响应单位Go门控神经元被激活; （4）黑质网状部（SNr）中的左侧响应编码单位被抑制; （5）上丘（SC）中的左侧响应单位被取消抑制，同时由于FEF的持续的的刺激投射，左侧响应单位被激发并且执行相应动作。</w:t>
      </w:r>
    </w:p>
    <w:p>
      <w:pPr>
        <w:numPr>
          <w:ilvl w:val="0"/>
          <w:numId w:val="1"/>
        </w:numPr>
        <w:ind w:left="0" w:leftChars="0" w:firstLine="0" w:firstLineChars="0"/>
        <w:rPr>
          <w:rFonts w:hint="eastAsia"/>
          <w:lang w:val="en-US" w:eastAsia="zh-CN"/>
        </w:rPr>
      </w:pPr>
      <w:r>
        <w:rPr>
          <w:rFonts w:hint="eastAsia"/>
          <w:lang w:val="en-US" w:eastAsia="zh-CN"/>
        </w:rPr>
        <w:t>不一致响应任务。试验早期（即，背外侧前额叶皮层[DLPFC]出现之前）的活动模式类似于一致响应任务下的活动模式。（1）输入层的左侧刺激激活了FEF中的左侧优先响应权重; （2）编码反扫视条件的单元在指令层被激活; （3）DLPFC根据任务规则整合传感输入和指令输入，同时激活FEF中的右侧编码单元以及纹状体中的右侧Go单元和左侧NoGo单元; （4）在FEF中，除了已经激活的优先左侧编码单元之外，DLPFC的输入同时激活了右侧编码单元; （5）前扣带背回（dACC）检测到多个FEF行动计划的同时激活进而活跃（6）丘脑底核（STN）和SNr兴奋的超直接路径阻止所有响应通过门控直到冲突得到解决。最终，由于控制下DLPFC激活的FEF右侧响应编码单位更强。正确的抗扫视选择通过了门控（7）在一些试验中，由于DLPFC激活太迟，优先左侧扫视强度已经超过阈值，导致了错误的选择。SEF为辅助眼部区域; pre-SMA 为前辅助运动皮质; hyperd.prjn为超直接投射路径; GPe为苍白球的外部部分; SNc为黑质致密部。</w:t>
      </w:r>
    </w:p>
    <w:p>
      <w:pPr>
        <w:numPr>
          <w:ilvl w:val="0"/>
          <w:numId w:val="0"/>
        </w:numPr>
        <w:ind w:leftChars="0"/>
        <w:rPr>
          <w:rFonts w:hint="eastAsia"/>
          <w:b/>
          <w:bCs/>
          <w:lang w:val="en-US" w:eastAsia="zh-CN"/>
        </w:rPr>
      </w:pPr>
      <w:r>
        <w:rPr>
          <w:rFonts w:hint="eastAsia"/>
          <w:b/>
          <w:bCs/>
          <w:lang w:val="en-US" w:eastAsia="zh-CN"/>
        </w:rPr>
        <w:t>结果</w:t>
      </w:r>
    </w:p>
    <w:p>
      <w:pPr>
        <w:numPr>
          <w:ilvl w:val="0"/>
          <w:numId w:val="0"/>
        </w:numPr>
        <w:ind w:leftChars="0" w:firstLine="420" w:firstLineChars="200"/>
        <w:rPr>
          <w:rFonts w:hint="eastAsia"/>
          <w:lang w:val="en-US" w:eastAsia="zh-CN"/>
        </w:rPr>
      </w:pPr>
      <w:r>
        <w:rPr>
          <w:rFonts w:hint="eastAsia"/>
          <w:lang w:val="en-US" w:eastAsia="zh-CN"/>
        </w:rPr>
        <w:t>我们在SRITs中确定了一组关键的行为和神经生物学定性模式，这些模式被我们模型成功捕获。</w:t>
      </w:r>
    </w:p>
    <w:p>
      <w:pPr>
        <w:numPr>
          <w:ilvl w:val="0"/>
          <w:numId w:val="2"/>
        </w:numPr>
        <w:ind w:leftChars="0" w:firstLine="420" w:firstLineChars="200"/>
        <w:rPr>
          <w:rFonts w:hint="eastAsia"/>
          <w:lang w:val="en-US" w:eastAsia="zh-CN"/>
        </w:rPr>
      </w:pPr>
      <w:r>
        <w:rPr>
          <w:rFonts w:hint="eastAsia"/>
          <w:lang w:val="en-US" w:eastAsia="zh-CN"/>
        </w:rPr>
        <w:t>不一致性试验与一致性试验相比具有更高的错误率（例如，Isoda和Hikosaka，2008; McDowell等，2002; Reilly，Harris，Keshavan，＆Sweeney，2006）。</w:t>
      </w:r>
    </w:p>
    <w:p>
      <w:pPr>
        <w:numPr>
          <w:ilvl w:val="0"/>
          <w:numId w:val="2"/>
        </w:numPr>
        <w:ind w:leftChars="0" w:firstLine="420" w:firstLineChars="200"/>
        <w:rPr>
          <w:rFonts w:hint="eastAsia"/>
          <w:lang w:val="en-US" w:eastAsia="zh-CN"/>
        </w:rPr>
      </w:pPr>
      <w:r>
        <w:rPr>
          <w:rFonts w:hint="eastAsia"/>
          <w:lang w:val="en-US" w:eastAsia="zh-CN"/>
        </w:rPr>
        <w:t>相比于正确的实验，出现错误的实验响应时间（RT）更短（例如，Isoda和Hikosaka，2008; McDowell等，2002; Reilly等，2006）。</w:t>
      </w:r>
    </w:p>
    <w:p>
      <w:pPr>
        <w:numPr>
          <w:ilvl w:val="0"/>
          <w:numId w:val="2"/>
        </w:numPr>
        <w:ind w:leftChars="0" w:firstLine="420" w:firstLineChars="200"/>
        <w:rPr>
          <w:rFonts w:hint="eastAsia"/>
          <w:lang w:val="en-US" w:eastAsia="zh-CN"/>
        </w:rPr>
      </w:pPr>
      <w:r>
        <w:rPr>
          <w:rFonts w:hint="eastAsia"/>
          <w:lang w:val="en-US" w:eastAsia="zh-CN"/>
        </w:rPr>
        <w:t>速度与准确性权衡之间的策略性调整（通过决策阈值的变化）调节了额叶皮层和纹状体之间的功能性连接强度（Forstmann等，2010）。类似地，STN的活跃度与决策阈值的调整相关（Ca-vanagh等，2011; Ratcliff＆Frank，2012）。</w:t>
      </w:r>
    </w:p>
    <w:p>
      <w:pPr>
        <w:numPr>
          <w:ilvl w:val="0"/>
          <w:numId w:val="2"/>
        </w:numPr>
        <w:ind w:leftChars="0" w:firstLine="420" w:firstLineChars="200"/>
        <w:rPr>
          <w:rFonts w:hint="eastAsia"/>
          <w:lang w:val="en-US" w:eastAsia="zh-CN"/>
        </w:rPr>
      </w:pPr>
      <w:r>
        <w:rPr>
          <w:rFonts w:hint="eastAsia"/>
          <w:lang w:val="en-US" w:eastAsia="zh-CN"/>
        </w:rPr>
        <w:t>与前纹状体导管胺失调相关的各种精神疾病会导致错误率增加和响应加快（例如，Harris，Reilly，Keshavan，＆Sweeney，2006; McDowell等，2002; Reilly等，2006; Reilly，Harris， Khine，Keshavan和Sweeney，2007）。</w:t>
      </w:r>
    </w:p>
    <w:p>
      <w:pPr>
        <w:numPr>
          <w:ilvl w:val="0"/>
          <w:numId w:val="2"/>
        </w:numPr>
        <w:ind w:leftChars="0" w:firstLine="420" w:firstLineChars="200"/>
        <w:rPr>
          <w:rFonts w:hint="eastAsia"/>
          <w:lang w:val="en-US" w:eastAsia="zh-CN"/>
        </w:rPr>
      </w:pPr>
      <w:r>
        <w:rPr>
          <w:rFonts w:hint="eastAsia"/>
          <w:lang w:val="en-US" w:eastAsia="zh-CN"/>
        </w:rPr>
        <w:t>优先运动响应会被提前激活，例如，在EMG测量中（Burle，Possamaï，Vidal，Bonnet，＆Hasbroucq，2002）。</w:t>
      </w:r>
    </w:p>
    <w:p>
      <w:pPr>
        <w:numPr>
          <w:ilvl w:val="0"/>
          <w:numId w:val="2"/>
        </w:numPr>
        <w:ind w:leftChars="0" w:firstLine="420" w:firstLineChars="200"/>
        <w:rPr>
          <w:rFonts w:hint="eastAsia"/>
          <w:lang w:val="en-US" w:eastAsia="zh-CN"/>
        </w:rPr>
      </w:pPr>
      <w:r>
        <w:rPr>
          <w:rFonts w:hint="eastAsia"/>
          <w:lang w:val="en-US" w:eastAsia="zh-CN"/>
        </w:rPr>
        <w:t>在正确的和错误的不一致的试验中，FEF神经元中至少有四种不同类型的激活动态（Everling＆Munoz，2000）。具体而言，编码错误响应（即，优先响应）的神经元快速激活，并且它们在错误试验中的活跃度大于正确试验中的活跃度。相反，编码正确响应（即受控响应）的神经元激活较慢，并且在错误试验中它们的活跃度较小延迟。（参见图6c，定量数据构成了这种定性模式的基础。）</w:t>
      </w:r>
    </w:p>
    <w:p>
      <w:pPr>
        <w:numPr>
          <w:ilvl w:val="0"/>
          <w:numId w:val="2"/>
        </w:numPr>
        <w:ind w:leftChars="0" w:firstLine="420" w:firstLineChars="200"/>
        <w:rPr>
          <w:rFonts w:hint="eastAsia"/>
          <w:lang w:val="en-US" w:eastAsia="zh-CN"/>
        </w:rPr>
      </w:pPr>
      <w:r>
        <w:rPr>
          <w:rFonts w:hint="eastAsia"/>
          <w:lang w:val="en-US" w:eastAsia="zh-CN"/>
        </w:rPr>
        <w:t>在一致和不一致的试验中，至少存在四种不同类型的具有可分离的的动态和方向选择性纹状体神经元（Ford＆Everling，2009; Watanabe＆Munoz，2009）。具体而言，（i）在一致实验期间，不同的神经群体进行编码以支持正确的响应和抑制替代方案; （ii）在反扫视试验期间，（iia）编码支持不正确的优先响应的神经元最初活跃但会返回基础线，同时（iib）编码抑制该优先响应的神经元与（iic）编码支持正确响应的神经元会一起变得活跃。（见图9b）。</w:t>
      </w:r>
    </w:p>
    <w:p>
      <w:pPr>
        <w:numPr>
          <w:ilvl w:val="0"/>
          <w:numId w:val="2"/>
        </w:numPr>
        <w:ind w:leftChars="0" w:firstLine="420" w:firstLineChars="200"/>
        <w:rPr>
          <w:rFonts w:hint="eastAsia"/>
          <w:lang w:val="en-US" w:eastAsia="zh-CN"/>
        </w:rPr>
      </w:pPr>
      <w:r>
        <w:rPr>
          <w:rFonts w:hint="eastAsia"/>
          <w:lang w:val="en-US" w:eastAsia="zh-CN"/>
        </w:rPr>
        <w:t>构成从前端皮层（pre-SMA，dACC）到STN的超直接途径的部分神经元在（i）在正确的不一致响应之前和（ii）在不正确的不一致响应之后会显示出增加的活性，但是（iii）在一致响应期间会返回基础线（Isoda＆Hikosaka，2007,2008; Yeung et al。，2004; Zaghloul et al。，2012）。这种活动模式会带来延迟但同时让不一致响应更加精确。</w:t>
      </w:r>
    </w:p>
    <w:p>
      <w:pPr>
        <w:numPr>
          <w:ilvl w:val="0"/>
          <w:numId w:val="0"/>
        </w:numPr>
        <w:ind w:leftChars="200"/>
        <w:rPr>
          <w:rFonts w:hint="eastAsia"/>
          <w:lang w:val="en-US" w:eastAsia="zh-CN"/>
        </w:rPr>
      </w:pPr>
      <w:r>
        <w:rPr>
          <w:rFonts w:hint="eastAsia"/>
          <w:lang w:val="en-US" w:eastAsia="zh-CN"/>
        </w:rPr>
        <w:t>在下文中，我们将演示我们的模型如何再现这些定性模式</w:t>
      </w:r>
    </w:p>
    <w:p>
      <w:pPr>
        <w:numPr>
          <w:ilvl w:val="0"/>
          <w:numId w:val="0"/>
        </w:numPr>
        <w:ind w:leftChars="200"/>
        <w:rPr>
          <w:rFonts w:hint="eastAsia"/>
          <w:b/>
          <w:bCs/>
          <w:lang w:val="en-US" w:eastAsia="zh-CN"/>
        </w:rPr>
      </w:pPr>
      <w:r>
        <w:rPr>
          <w:rFonts w:hint="eastAsia"/>
          <w:b/>
          <w:bCs/>
          <w:lang w:val="en-US" w:eastAsia="zh-CN"/>
        </w:rPr>
        <w:t>行为</w:t>
      </w:r>
    </w:p>
    <w:p>
      <w:pPr>
        <w:numPr>
          <w:ilvl w:val="0"/>
          <w:numId w:val="0"/>
        </w:numPr>
        <w:ind w:leftChars="0" w:firstLine="420" w:firstLineChars="200"/>
        <w:rPr>
          <w:rFonts w:hint="eastAsia"/>
          <w:lang w:val="en-US" w:eastAsia="zh-CN"/>
        </w:rPr>
      </w:pPr>
      <w:r>
        <w:rPr>
          <w:rFonts w:hint="eastAsia"/>
          <w:lang w:val="en-US" w:eastAsia="zh-CN"/>
        </w:rPr>
        <w:t>正如预期的那样，与一致试验中的完美表现（错误率接近0％，未显示）相比，完整网络在不一致的试验上产生更多错误（错误率为15％），从而匹配了定性模式1。</w:t>
      </w:r>
    </w:p>
    <w:p>
      <w:pPr>
        <w:numPr>
          <w:ilvl w:val="0"/>
          <w:numId w:val="0"/>
        </w:numPr>
        <w:ind w:leftChars="0" w:firstLine="420" w:firstLineChars="200"/>
        <w:rPr>
          <w:rFonts w:hint="eastAsia"/>
          <w:lang w:val="en-US" w:eastAsia="zh-CN"/>
        </w:rPr>
      </w:pPr>
      <w:r>
        <w:rPr>
          <w:rFonts w:hint="eastAsia"/>
          <w:lang w:val="en-US" w:eastAsia="zh-CN"/>
        </w:rPr>
        <w:t>此外，网络通常在不一致的试验中具有更长的响应时间（RTs）（参见图3b），从而匹配了定性模式2。不一致的试验较慢原因有两个：（i）执行控制（DLPFC）在计算时需要时间来整合两个输入源以激活相关规则 ; （ii）一旦被激活，受控响应与优先响应冲突，导致了STN的激活和BG门控阈值的相关增加。</w:t>
      </w:r>
    </w:p>
    <w:p>
      <w:pPr>
        <w:numPr>
          <w:ilvl w:val="0"/>
          <w:numId w:val="0"/>
        </w:numPr>
        <w:ind w:leftChars="0" w:firstLine="420" w:firstLineChars="200"/>
        <w:rPr>
          <w:rFonts w:hint="eastAsia"/>
          <w:lang w:val="en-US" w:eastAsia="zh-CN"/>
        </w:rPr>
      </w:pPr>
      <w:r>
        <w:rPr>
          <w:rFonts w:hint="eastAsia"/>
          <w:lang w:val="en-US" w:eastAsia="zh-CN"/>
        </w:rPr>
        <w:t>此外，分析显示了，与正确执行的不一致试验相比，错误的不一致试验响应时间更快（参见图4）。在我们的模型中，错误是这样发生的：在抑制过程起效前，优先响应已经快速地达到了阈值。模型因此匹配了定性模式2和3。</w:t>
      </w:r>
    </w:p>
    <w:p>
      <w:pPr>
        <w:numPr>
          <w:ilvl w:val="0"/>
          <w:numId w:val="0"/>
        </w:numPr>
        <w:ind w:leftChars="0" w:firstLine="420" w:firstLineChars="200"/>
        <w:rPr>
          <w:rFonts w:hint="eastAsia"/>
          <w:lang w:val="en-US" w:eastAsia="zh-CN"/>
        </w:rPr>
      </w:pPr>
      <w:r>
        <w:rPr>
          <w:rFonts w:hint="eastAsia"/>
          <w:lang w:val="en-US" w:eastAsia="zh-CN"/>
        </w:rPr>
        <w:t>我们接下来研究了这些行为模式是如何受到操作影响的（见图3a）。增加补充DA水平，同时中断STN功能来模拟深部脑刺激，此时不一致实验的错误率最大。纹状体DA的增加对不一致错误率的影响匹配了非药物治疗精神分裂症患者中观察到的相应模式，这些患者的纹状体DA明显升高（参见定性模式4）（例如，Harris等，2006; McDowell等，2002; Reilly等人，2006年，2007年）。补充性DA升高与一致和非一致性试验中的加速响应相关，因为对Go途径的偏置促进了响应通过门控。同样的机制也解释了增加的反扫视错误率。相反，减少的补充性DA通过提高间接NoGo途径的兴奋性导致响应减慢。该模型还预测STN功能障碍会导致错误率增加，因为无法提高到纹状体促进优先响应所需的相应阈值。实际上，STN-DBS在SRITs中引起了冲动响应（快速但不准确）（Wylie等，2010）。</w:t>
      </w:r>
    </w:p>
    <w:p>
      <w:pPr>
        <w:numPr>
          <w:ilvl w:val="0"/>
          <w:numId w:val="0"/>
        </w:numPr>
        <w:ind w:leftChars="0" w:firstLine="420" w:firstLineChars="200"/>
        <w:rPr>
          <w:rFonts w:hint="eastAsia"/>
          <w:lang w:val="en-US" w:eastAsia="zh-CN"/>
        </w:rPr>
      </w:pPr>
      <w:r>
        <w:rPr>
          <w:rFonts w:hint="eastAsia"/>
          <w:lang w:val="en-US" w:eastAsia="zh-CN"/>
        </w:rPr>
        <w:t>最后，我们更详细地测试了生物变量中的系统参数变化如何影响RT和准确度。图5a显示了在不同的FEF到纹状体的连接强度的设置下RT分布如何变化。图5b定量显示了FEF-纹状体连通性的增加如何导致更快的RT和降低的准确性（定性模式3）。严格来说，在直接路径中增加FEF到Go单元的连接强度会导致响应更快地通过门控。相反，STN到SNr上的连通性增加会导致RT降低并提高准确度（见图5c）。这两种效应的原因是它们调节SNr活性不同。回想一下，SNr有效地抑制SC，除非它本身被纹状体直接途径抑制。因此，SNr单元很容易被调节——通过增强从皮层到Go单元的连接，或者通过STN增加SNr ，这将改变BG通过任意动作所需的阈值。实际上，Ratcliff和Frank（2012）以及Lo和Wang（2006）已经表明这两种机制与顺序采样模型中决策阈值的变化有关。我们的模型包含这两种机制，并表明这些不同的途径本身由不同的认知变量调节，例如意志速度—准确度调节和冲突/选择问题（皮质—纹状体和STN）。我们在讨论部分会再次考虑这个问题。</w:t>
      </w:r>
    </w:p>
    <w:p>
      <w:pPr>
        <w:numPr>
          <w:ilvl w:val="0"/>
          <w:numId w:val="0"/>
        </w:numPr>
        <w:ind w:leftChars="0" w:firstLine="420" w:firstLineChars="200"/>
        <w:rPr>
          <w:rFonts w:hint="eastAsia"/>
          <w:lang w:val="en-US" w:eastAsia="zh-CN"/>
        </w:rPr>
      </w:pPr>
      <w:r>
        <w:rPr>
          <w:rFonts w:hint="eastAsia"/>
          <w:lang w:val="en-US" w:eastAsia="zh-CN"/>
        </w:rPr>
        <w:t>总之，我们的模型匹配了文献中描述的关键定性行为模式（见上文）。此外，这些模式保持不同的生物可信参数范围，导致行为模式的可预测变化。然而，考虑到基础模型的复杂性，确定网络的不同节点的内部变化是否与这类任务中的电生理学数据一致也很重要。</w:t>
      </w:r>
    </w:p>
    <w:p>
      <w:pPr>
        <w:numPr>
          <w:ilvl w:val="0"/>
          <w:numId w:val="0"/>
        </w:numPr>
        <w:ind w:leftChars="0" w:firstLine="420" w:firstLineChars="200"/>
      </w:pPr>
      <w:r>
        <w:drawing>
          <wp:inline distT="0" distB="0" distL="114300" distR="114300">
            <wp:extent cx="5272405" cy="2110105"/>
            <wp:effectExtent l="0" t="0" r="63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72405" cy="2110105"/>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3.（a）相对于完整神经网络，不同神经操作下不一致试验中的错误率的误差。与完整网络相比，网络在增强的多巴胺（DA）水平或丘脑底核（STN）功能障碍方面产生更多错误。（b）相对于完整网络的响应时间（RT），不同神经操作下优先扫视和抗扫视试验中的时间误差。更多分析，请参阅正文。SNr为黑质网状部; DLPFC为背外侧前额叶皮层。</w:t>
      </w:r>
    </w:p>
    <w:p>
      <w:pPr>
        <w:numPr>
          <w:ilvl w:val="0"/>
          <w:numId w:val="0"/>
        </w:numPr>
        <w:ind w:leftChars="0" w:firstLine="420" w:firstLineChars="200"/>
      </w:pPr>
      <w:r>
        <w:drawing>
          <wp:inline distT="0" distB="0" distL="114300" distR="114300">
            <wp:extent cx="5273040" cy="1663065"/>
            <wp:effectExtent l="0" t="0" r="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73040" cy="1663065"/>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4.（a）正确和错误的不一致试验在模型中响应时间（RT）直方图。错误RT分布由于优先响应较快将偏左侧。在门控阈值有效降低的条件下，这种模式特征会被增加的补充多巴胺（DA）放大。（b）在不一致任务期间猴子的RT直方图（基于Isoda＆Hikosaka，2008的数据）。在一系列试验中，猴子在选择两个目标中的一个后不断得到奖励。在“不一致试验”中，提示表明猴子应该对相反的目标进行扫视，这要求猴子抑制优先的选择，并选择相反的方向。与模型一样，较短的响应时间会导致错误率提高。（c）具有快速DLPFC整合速度的模型的响应时间分布。正确的显示红色，错误的显示灰色（不存在）。与具有较慢DLPFC整合速度的模型（图a）相比，该模型不能考虑实验错误下的RT分布。</w:t>
      </w:r>
    </w:p>
    <w:p>
      <w:pPr>
        <w:numPr>
          <w:ilvl w:val="0"/>
          <w:numId w:val="0"/>
        </w:numPr>
        <w:ind w:leftChars="0" w:firstLine="420" w:firstLineChars="200"/>
      </w:pPr>
      <w:r>
        <w:drawing>
          <wp:inline distT="0" distB="0" distL="114300" distR="114300">
            <wp:extent cx="5269230" cy="3284220"/>
            <wp:effectExtent l="0" t="0" r="381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269230" cy="3284220"/>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5.（a）网络模型中不一致试验的响应时间（RT）分布。额叶眼区域（FEF）到纹状体投射强度沿x轴变化。正确的RT分布位于每个面板的y轴右侧，不正确的RT分布位于y轴左侧。这种操作等价于对速度-精度的调整：一般来说，速度-精度会随着前辅助运动皮质（pre-SMA）与纹状体之间的连接而变化（Forstmann等，2010,2008），与Forstmann等人研究的手动运动相比（2010年，2008年），这里的FEF在眼球运动中起到了pre-SMA的作用。（b+c）速度-精度在以下参数调节下的变化（b）FEF到纹状体上连接强度和（c）丘脑底核（STN）到黑质网状（SNr）上的连接强度（用不同颜色编码不同连接强度）。图中黑色表示低的连接强度，黄色表示高的连接强度。该模式与判定阈值调节一致。通过改变这些不同路线中的连接强度，使其位于敏感范围内，可以产生可供演示的显著效果。</w:t>
      </w:r>
    </w:p>
    <w:p>
      <w:pPr>
        <w:numPr>
          <w:ilvl w:val="0"/>
          <w:numId w:val="0"/>
        </w:numPr>
        <w:rPr>
          <w:rFonts w:hint="eastAsia"/>
          <w:b/>
          <w:bCs/>
          <w:lang w:val="en-US" w:eastAsia="zh-CN"/>
        </w:rPr>
      </w:pPr>
      <w:r>
        <w:rPr>
          <w:rFonts w:hint="eastAsia"/>
          <w:b/>
          <w:bCs/>
          <w:lang w:val="en-US" w:eastAsia="zh-CN"/>
        </w:rPr>
        <w:t>神经生理学</w:t>
      </w:r>
    </w:p>
    <w:p>
      <w:pPr>
        <w:numPr>
          <w:ilvl w:val="0"/>
          <w:numId w:val="0"/>
        </w:numPr>
        <w:ind w:leftChars="0" w:firstLine="420" w:firstLineChars="200"/>
        <w:rPr>
          <w:rFonts w:hint="eastAsia"/>
          <w:lang w:val="en-US" w:eastAsia="zh-CN"/>
        </w:rPr>
      </w:pPr>
      <w:r>
        <w:rPr>
          <w:rFonts w:hint="eastAsia"/>
          <w:lang w:val="en-US" w:eastAsia="zh-CN"/>
        </w:rPr>
        <w:t>DLPFC，SEF和pre-SMA的活动。我们的模型总结了执行控制复合体的计算，作为对应于DLPFC，SEF和pre-SMA的单独层。我们的一个核心预测是DLPFC的激活必须相对于习惯性响应机制有所延迟，以产生所需的定性模式。为了证明这种解释的合理性，我们模拟了DLPFC速度增加的网络（通过改变膜电位更新的时间常数）。结果表明，网络工作不再产生快速错误，同时正确的RTs变得更快，更集中（见图4c）。这种情况的原因在于，在早期处理过程中，主动执行控制占主导地位并超越了优先机制。这一结果意味着需要对执行控制进行延迟，以解释不一致实验中的RTs延迟的实证结果。</w:t>
      </w:r>
    </w:p>
    <w:p>
      <w:pPr>
        <w:numPr>
          <w:ilvl w:val="0"/>
          <w:numId w:val="0"/>
        </w:numPr>
        <w:ind w:leftChars="0" w:firstLine="420" w:firstLineChars="200"/>
        <w:rPr>
          <w:rFonts w:hint="eastAsia"/>
          <w:lang w:val="en-US" w:eastAsia="zh-CN"/>
        </w:rPr>
      </w:pPr>
      <w:r>
        <w:rPr>
          <w:rFonts w:hint="eastAsia"/>
          <w:lang w:val="en-US" w:eastAsia="zh-CN"/>
        </w:rPr>
        <w:t>SC和FEF的活动。比较SC的单个单元激活模式（参见图6a）与FEF的激活模式（参见图6b）可以发现，这两个区域之间的激活动态非常相似。因此，我们的模型预测FEF可以被解释为皮质扫视计划/监测区域，通过其对SC的投射直接影响扫视生成（Munoz和Everling，2004）。此外，SC活动显示，在正确和不正确的不一致试验中，不正确的优先响应单元先于受控单位变得活跃，因此匹配定性模式5。</w:t>
      </w:r>
    </w:p>
    <w:p>
      <w:pPr>
        <w:numPr>
          <w:ilvl w:val="0"/>
          <w:numId w:val="0"/>
        </w:numPr>
        <w:ind w:leftChars="0" w:firstLine="420" w:firstLineChars="200"/>
      </w:pPr>
      <w:r>
        <w:drawing>
          <wp:inline distT="0" distB="0" distL="114300" distR="114300">
            <wp:extent cx="5267325" cy="2062480"/>
            <wp:effectExtent l="0" t="0" r="571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7325" cy="2062480"/>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6.（a）不一致试验中刺激发作的期间，正确和错误试验中编码正确和错误响应的各个上丘（SC）单位的平均活性。优先（即错误）响应在意志正确响应之前出现。在错误的试验中，错误响应单元在意志响应单元激活之前已经超过阈值。在正确的试验中，错误单元及时被抑制。（b）不一致试验中刺激发作的期间，编码错误响应和正确响应的额叶眼区（FEF）单位的平均活性（基准模式6）。（c）猴子的FEF电生理记录（数据基于Everling和Munoz，2000）。</w:t>
      </w:r>
    </w:p>
    <w:p>
      <w:pPr>
        <w:numPr>
          <w:ilvl w:val="0"/>
          <w:numId w:val="0"/>
        </w:numPr>
        <w:ind w:leftChars="0" w:firstLine="420" w:firstLineChars="200"/>
      </w:pPr>
      <w:r>
        <w:drawing>
          <wp:inline distT="0" distB="0" distL="114300" distR="114300">
            <wp:extent cx="5269230" cy="1945005"/>
            <wp:effectExtent l="0" t="0" r="3810"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69230" cy="1945005"/>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7.（a）优先扫视实验和正确不正确的非一致试验中的平均背侧前扣带皮层（dACC）活性（对应于额叶眼视野[FEF]中的冲突）。一致试验中不存在冲突。在正确的不一致试验期间，冲突在优先响应通过门控之前被检测到并解决。在不正确的不一致试验期间，冲突被检测之间就会做出错误的响应。（b）在切换任务期间猴子在预备运动区域（pre-SMA）的活性记录在（数据基于Isoda＆Hikosaka，2007）。（c）在Flanker任务期间人类的中央头皮的被认为源自dACC的脑电图（EEG）记录（数据基于Yeung等人，2004）。N2和误差相关负性（ERN）与我们的建模结果非常匹配，复制了Yeung等人（2004）模型中的这一方面内容。</w:t>
      </w:r>
    </w:p>
    <w:p>
      <w:pPr>
        <w:numPr>
          <w:ilvl w:val="0"/>
          <w:numId w:val="0"/>
        </w:numPr>
        <w:ind w:leftChars="0" w:firstLine="420" w:firstLineChars="200"/>
        <w:rPr>
          <w:rFonts w:hint="eastAsia"/>
          <w:lang w:val="en-US" w:eastAsia="zh-CN"/>
        </w:rPr>
      </w:pPr>
    </w:p>
    <w:p>
      <w:pPr>
        <w:numPr>
          <w:ilvl w:val="0"/>
          <w:numId w:val="0"/>
        </w:numPr>
        <w:ind w:leftChars="0" w:firstLine="420" w:firstLineChars="200"/>
        <w:rPr>
          <w:rFonts w:hint="eastAsia"/>
          <w:lang w:val="en-US" w:eastAsia="zh-CN"/>
        </w:rPr>
      </w:pPr>
      <w:r>
        <w:rPr>
          <w:rFonts w:hint="eastAsia"/>
          <w:lang w:val="en-US" w:eastAsia="zh-CN"/>
        </w:rPr>
        <w:t>dACC活动。如前所述，dACC可以检测FEF中两个响应单元的同时激活（即，当平均活性大于0.5时）——这是检测冲突（或者存在选择问题;见上文）的直接手段。因此，其活性（参见图7a）具有与FEF层平均活性相似的模式：在正确的试验中冲突在优先响应通过之前出现并被解决，而在错误试验中冲突在优先响应通过之后出现。然而，dACC并未在一致试验中发挥作用，因为一致实验中不存在被dACC检测到的冲突。</w:t>
      </w:r>
    </w:p>
    <w:p>
      <w:pPr>
        <w:numPr>
          <w:ilvl w:val="0"/>
          <w:numId w:val="0"/>
        </w:numPr>
        <w:ind w:leftChars="0" w:firstLine="420" w:firstLineChars="200"/>
        <w:rPr>
          <w:rFonts w:hint="eastAsia"/>
          <w:lang w:val="en-US" w:eastAsia="zh-CN"/>
        </w:rPr>
      </w:pPr>
      <w:r>
        <w:rPr>
          <w:rFonts w:hint="eastAsia"/>
          <w:lang w:val="en-US" w:eastAsia="zh-CN"/>
        </w:rPr>
        <w:t>这种在正确的不一致试验之前但在不正确的不一致试验之后的由冲突激活导致的峰值的定性模式与在人类脑电图（EEG）研究中常见的事件相关电位（ERPs）相匹配（参见图7c）。在响应错误之后测量所谓的错误相关负波（ERN），而在正确的强冲突响应之前测量所谓的N2势（Falkenstein，Hohnsbein，Hoormann，＆Blanke，1991; Gehring，Goss，Coles，Meyer） ，＆Donchin，1993）。Yeung及其同事在模拟工作中首次提出了这两个信号只能代表“同一硬币的两面”并反映潜在的dACC活动的观点（Yeung等，2004; Yeung＆Cohen，2006）。</w:t>
      </w:r>
    </w:p>
    <w:p>
      <w:pPr>
        <w:numPr>
          <w:ilvl w:val="0"/>
          <w:numId w:val="0"/>
        </w:numPr>
        <w:ind w:leftChars="0" w:firstLine="420" w:firstLineChars="200"/>
        <w:rPr>
          <w:rFonts w:hint="eastAsia"/>
          <w:lang w:val="en-US" w:eastAsia="zh-CN"/>
        </w:rPr>
      </w:pPr>
      <w:r>
        <w:rPr>
          <w:rFonts w:hint="eastAsia"/>
          <w:lang w:val="en-US" w:eastAsia="zh-CN"/>
        </w:rPr>
        <w:t>STN活动。如模型描述中所述，dACC检测到冲突则通过刺激STN来防止响应通过门控，直到解决冲突，从而导致延迟（和更准确地）响应。实际上，这种机制在正确的不一致试验中导致了右偏的RT分布。因此，在STN中也可以观察到在正确响应之前增加的活性和在错误响应之后增加的活性的情况（参见图8a）。同样，这种定性模式也在Isoda和Hikosaka（2008;见图8b）的猴子STN记录中发现，他们表明STN相对于pre-SMA的发射时间而言，更与超直接途径上的通信一致。</w:t>
      </w:r>
    </w:p>
    <w:p>
      <w:pPr>
        <w:numPr>
          <w:ilvl w:val="0"/>
          <w:numId w:val="0"/>
        </w:numPr>
        <w:ind w:leftChars="0" w:firstLine="420" w:firstLineChars="200"/>
        <w:rPr>
          <w:rFonts w:hint="eastAsia"/>
          <w:lang w:val="en-US" w:eastAsia="zh-CN"/>
        </w:rPr>
      </w:pPr>
      <w:r>
        <w:rPr>
          <w:rFonts w:hint="eastAsia"/>
          <w:lang w:val="en-US" w:eastAsia="zh-CN"/>
        </w:rPr>
        <w:t>（Brown，Bullock，＆Gross-berg，2004）的神经计算模型以不同的方式解释了STN的作用。在他们的模型中，STN由输出结构（在他们的情况下为FEF）激活，以在选择响应之后锁定竞争响应的影响。这是与本文模型的关键差异：本文的STN在响应选择之前提高了阈值，从而延迟执行但提高了准确性。为了明确说明我们的模型预测与STN功能的替代模型的定性区分，我们断开dACC对STN的输入，而只允许输出结构（我们模型中的SC）投射到它，使得STN功能像布朗等人那样运作。（2004）。从图8c中可以看出，活动模式发生了巨大变化。具体而言，正如我们的模型和经验数据（Isoda＆Hikosaka，2008）所观察到的，不同试验类型之间的激活模式不再存在差异。因为STN仅影响响应选择后的过程，所以它也不会导致响应延迟或决策阈值调整。我们模型预测中的这种定性差异是基本的，不受参数调整的影响，因为它反映了STN的独特计算角色。虽然我们为了对比只关注了Brown模型，但是具有不同连接性的STN功能的其他模型同样不能解释这些数据。例如，Rubchinsky，Kopell和Sigvardt（2003）的生物物理模型假设STN神经元增强对特定行为的响应选择（通过抑制SNr，起到直接Go途径的作用），同时抑制其他竞争行为（通过刺激其他行为对应的SNr）。该模型就不能解释这种活动模式，因为多个皮质输入的同时激活不会导致STN活性的增加（参见Rubchinsky等人，2003中的图6b）。</w:t>
      </w:r>
    </w:p>
    <w:p>
      <w:pPr>
        <w:numPr>
          <w:ilvl w:val="0"/>
          <w:numId w:val="0"/>
        </w:numPr>
        <w:ind w:leftChars="0" w:firstLine="420" w:firstLineChars="200"/>
        <w:rPr>
          <w:rFonts w:hint="eastAsia"/>
          <w:lang w:val="en-US" w:eastAsia="zh-CN"/>
        </w:rPr>
      </w:pPr>
      <w:r>
        <w:rPr>
          <w:rFonts w:hint="eastAsia"/>
          <w:lang w:val="en-US" w:eastAsia="zh-CN"/>
        </w:rPr>
        <w:t>纹状体活动。图9a显示了直接路径Go和间接路径NoGo单位（分别为行一和行二）的一致和不一致试验（分别为第一列和第二列）中的纹状体的活动。图中，对正确和错误响应有选择性活动被标为彩色。该模型完美匹配了反扫视任务期间在猴子背侧纹状体记录中发现的四种细胞群（定性模式7）的定性模式（参见图9b和Ford＆Everling，2009; Watanabe和Munoz，2009）。特别是，对于一致性试验而说，编码正确响应的Go神经元刺激响应通过门控，而编码错误响应的NoGo神经元抑制了其他行为。在不一致的试验中，编码错误优先响应的Go神经元最初被激活，但是随后相应的NoGo群体的活性增加，从而通过NoGo到Go的抑制性投射抑制Go神经元（Taverna，Ilijic，＆Surmeier， 2008）。最后，受控的正确响应的Go单元被激活并且执行不一致响应。因此，我们的模型预测，在以往记录中观察到的电生理学模式是由于自上而下的对直接和间接途径神经元的认知控制调节而产生的。</w:t>
      </w:r>
    </w:p>
    <w:p>
      <w:pPr>
        <w:numPr>
          <w:ilvl w:val="0"/>
          <w:numId w:val="0"/>
        </w:numPr>
        <w:ind w:leftChars="0" w:firstLine="420" w:firstLineChars="200"/>
        <w:rPr>
          <w:rFonts w:hint="eastAsia"/>
          <w:lang w:val="en-US" w:eastAsia="zh-CN"/>
        </w:rPr>
      </w:pPr>
      <w:r>
        <w:rPr>
          <w:rFonts w:hint="eastAsia"/>
          <w:lang w:val="en-US" w:eastAsia="zh-CN"/>
        </w:rPr>
        <w:t>再次注意，由于其他模型将间接路径简略为不同的计算源（不止一个），或者其他不同的函数，我们可以将我们的模型的预测与这些模型的预测区分开来。Brown等人的神经网络模型（2004）假设间接途径推迟了正确行动计划的执行，直到合适的时间。这表明执行控制复合体会激活编码正确响应的NoGo单元，而不是我们模型中的错误响应的单元。我们在模型中模拟了该替代函数，说明了这是如何导致与我们的模型和数据（见模式7和图9c）不同的定性模式。（但是，我们注意到Brown等人，2004年的模型在某种意义上也可能符合我们的模型，因为他们也提倡一种机制，通过这种机制，负面预测错误推动了NoGo神经元的学习，在AST训练后，也可能产生我们在这里观察到的模式：优先响应会受到抑制。）同样，Gurney，Prescott和Redgrave（2001）的突出模型表明，这条路径也可以作为控制途径，而不是像我们的模型那样提供针对特定行为的负面信息，而且不清楚这种控制功能如何（尽管没有争议）重现这里观察到的模式。</w:t>
      </w:r>
    </w:p>
    <w:p>
      <w:pPr>
        <w:numPr>
          <w:ilvl w:val="0"/>
          <w:numId w:val="0"/>
        </w:numPr>
        <w:ind w:leftChars="0" w:firstLine="420" w:firstLineChars="200"/>
      </w:pPr>
      <w:r>
        <w:drawing>
          <wp:inline distT="0" distB="0" distL="114300" distR="114300">
            <wp:extent cx="5273675" cy="2019300"/>
            <wp:effectExtent l="0" t="0" r="1460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273675" cy="2019300"/>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8.（a）优先扫视实验和正确不正确的不一致试验中的模拟丘脑底核（STN）在响应执行时的平均活性。在一致性试验期间，STN单位抑制了部分初期本该增加的活性。正确的不一致试验显示了，试验初期STN单位活性增加，导致由冲突引起的减慢并阻止优先响应通过门控。在错误试验中，此机制触发太迟，因此执行了错误的响应。（b）在正确和错误的不一致试验和一致试验中猴子STN的电生理记录（基于Isoda＆Hikosaka，2008的数据。）（c）修改模型的STN层的平均活性，其中STN不由前扣带背回（dACC）激发，而是由Brown等人（2004年）提出的扫视输出（我们模型中的上丘[SC]）激发。该模型不能预测试验类型之间的差异。</w:t>
      </w:r>
    </w:p>
    <w:p>
      <w:pPr>
        <w:numPr>
          <w:ilvl w:val="0"/>
          <w:numId w:val="0"/>
        </w:numPr>
        <w:ind w:leftChars="0" w:firstLine="420" w:firstLineChars="200"/>
      </w:pPr>
      <w:r>
        <w:drawing>
          <wp:inline distT="0" distB="0" distL="114300" distR="114300">
            <wp:extent cx="5269865" cy="1610995"/>
            <wp:effectExtent l="0" t="0" r="3175"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5269865" cy="1610995"/>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9.（a）在正确的一致实验（第一列）和不一致试验（第二列）中，Go（第一行）和NoGo（第二行）神经元群体的平均纹状体活性。在每种情况下，分别显示正确（红色）和错误（蓝色）的响应编码单元的活性。正如文中所述，在两种试验类型早期，优先响应的Go单位都变得活跃，但在不一致试验中，接着是NoGo单位抑制优先响应的Go活性，最后背外侧前额叶皮层（DLPFC）自上而下地提高了受控响应Go的活性。（b）猴子纹状体的电生理记录（数据基于Watanabe＆Munoz，2009）。第一行表示编码执行响应的神经元（即，Go神经元），第二行表示编码抑制响应的神经元（即，NoGo神经元）。（c）模拟Brown等人（2004）假设的模型，即间接途径的作用是推迟正确响应的执行，而不是抑制其他替代响应。注意到，Go途径的预测符合我们的模型和数据，但NoGo神经元的预测则不符合。</w:t>
      </w:r>
    </w:p>
    <w:p>
      <w:pPr>
        <w:jc w:val="both"/>
        <w:rPr>
          <w:rFonts w:hint="eastAsia"/>
          <w:b/>
          <w:bCs/>
          <w:sz w:val="30"/>
          <w:szCs w:val="30"/>
          <w:lang w:val="en-US" w:eastAsia="zh-CN"/>
        </w:rPr>
      </w:pPr>
      <w:r>
        <w:rPr>
          <w:rFonts w:hint="eastAsia"/>
          <w:b/>
          <w:bCs/>
          <w:sz w:val="30"/>
          <w:szCs w:val="30"/>
          <w:lang w:val="en-US" w:eastAsia="zh-CN"/>
        </w:rPr>
        <w:t>全局响应抑制</w:t>
      </w:r>
    </w:p>
    <w:p>
      <w:pPr>
        <w:numPr>
          <w:ilvl w:val="0"/>
          <w:numId w:val="0"/>
        </w:numPr>
        <w:ind w:leftChars="0" w:firstLine="422" w:firstLineChars="200"/>
        <w:rPr>
          <w:rFonts w:hint="eastAsia"/>
          <w:lang w:val="en-US" w:eastAsia="zh-CN"/>
        </w:rPr>
      </w:pPr>
      <w:r>
        <w:rPr>
          <w:rFonts w:hint="eastAsia"/>
          <w:b/>
          <w:bCs/>
          <w:lang w:val="en-US" w:eastAsia="zh-CN"/>
        </w:rPr>
        <w:t>方法</w:t>
      </w:r>
      <w:r>
        <w:rPr>
          <w:rFonts w:hint="eastAsia"/>
          <w:lang w:val="en-US" w:eastAsia="zh-CN"/>
        </w:rPr>
        <w:t xml:space="preserve"> </w:t>
      </w:r>
    </w:p>
    <w:p>
      <w:pPr>
        <w:numPr>
          <w:ilvl w:val="0"/>
          <w:numId w:val="0"/>
        </w:numPr>
        <w:ind w:leftChars="0" w:firstLine="420" w:firstLineChars="200"/>
        <w:rPr>
          <w:rFonts w:hint="eastAsia"/>
          <w:lang w:val="en-US" w:eastAsia="zh-CN"/>
        </w:rPr>
      </w:pPr>
      <w:r>
        <w:rPr>
          <w:rFonts w:hint="eastAsia"/>
          <w:lang w:val="en-US" w:eastAsia="zh-CN"/>
        </w:rPr>
        <w:t>在SRITs中，选择性抑制的优先响应必须用另一种受控响应代替。相反，停止信号任务（SST）需要彻底的响应抑制（例如，Aron＆Poldrack，2006; Cohen＆Poldrack，2008; Logan＆Cowan，1984）并常用来评估模型全局抑制控制的能力（Aron，2011）。具体地说，要求受试者按下左键或右键以响应出现在屏幕上的按键要求。屏幕出现按键要求后，经过可变延迟时间（即，停止信号延迟; SSD），屏幕出现停止信号，指示受试者停止响应。</w:t>
      </w:r>
    </w:p>
    <w:p>
      <w:pPr>
        <w:numPr>
          <w:ilvl w:val="0"/>
          <w:numId w:val="0"/>
        </w:numPr>
        <w:ind w:leftChars="0" w:firstLine="420" w:firstLineChars="200"/>
        <w:rPr>
          <w:rFonts w:hint="eastAsia"/>
          <w:lang w:val="en-US" w:eastAsia="zh-CN"/>
        </w:rPr>
      </w:pPr>
      <w:r>
        <w:rPr>
          <w:rFonts w:hint="eastAsia"/>
          <w:lang w:val="en-US" w:eastAsia="zh-CN"/>
        </w:rPr>
        <w:t>在这里，我们展现了加入右侧额下回（rIFG）对STN的直接投影（Aron，Behrens，等，2007;见图10）后，模型对SST的模拟。在竞争模型假设下（即，Go过程和Stop过程之间的竞争），可以通过测量在不同SSD处成功抑制的概率来估计停止信号响应时间（SSRT）。然后将该抑制功能与不停止信号试验中的Go响应时间的分布进行比较。对于SST已经有了一些广泛评论（Verbruggen＆Logan，2009），所以我们在这里关注我们的模型如何捕获可用的信息。注意，SST通常是指涉及手部运动（及其抑制）的任务，但是在动眼神经域中通过使用有效的等效物也可以实现，其被称为反作用任务。虽然Go响应中涉及的神经元电路取决于响应模式，但全局机制中涉及的神经元电路可能与响应模式无关（Leung＆Cai，2007）。</w:t>
      </w:r>
    </w:p>
    <w:p>
      <w:pPr>
        <w:numPr>
          <w:ilvl w:val="0"/>
          <w:numId w:val="0"/>
        </w:numPr>
        <w:ind w:leftChars="0" w:firstLine="420" w:firstLineChars="200"/>
      </w:pPr>
      <w:r>
        <w:drawing>
          <wp:inline distT="0" distB="0" distL="114300" distR="114300">
            <wp:extent cx="5271770" cy="5051425"/>
            <wp:effectExtent l="0" t="0" r="127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71770" cy="5051425"/>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rPr>
        <w:t>图10.在停止信号试验期间</w:t>
      </w:r>
      <w:r>
        <w:rPr>
          <w:rFonts w:hint="eastAsia"/>
          <w:lang w:val="en-US" w:eastAsia="zh-CN"/>
        </w:rPr>
        <w:t>包含</w:t>
      </w:r>
      <w:r>
        <w:rPr>
          <w:rFonts w:hint="eastAsia"/>
        </w:rPr>
        <w:t>右侧额下回（rIFG）的扩展神经网络模型。（1）左</w:t>
      </w:r>
      <w:r>
        <w:rPr>
          <w:rFonts w:hint="eastAsia"/>
          <w:lang w:val="en-US" w:eastAsia="zh-CN"/>
        </w:rPr>
        <w:t>侧</w:t>
      </w:r>
      <w:r>
        <w:rPr>
          <w:rFonts w:hint="eastAsia"/>
        </w:rPr>
        <w:t>输入刺激激活</w:t>
      </w:r>
      <w:r>
        <w:rPr>
          <w:rFonts w:hint="eastAsia"/>
          <w:lang w:val="en-US" w:eastAsia="zh-CN"/>
        </w:rPr>
        <w:t>了</w:t>
      </w:r>
      <w:r>
        <w:rPr>
          <w:rFonts w:hint="eastAsia"/>
        </w:rPr>
        <w:t>（2）左</w:t>
      </w:r>
      <w:r>
        <w:rPr>
          <w:rFonts w:hint="eastAsia"/>
          <w:lang w:val="en-US" w:eastAsia="zh-CN"/>
        </w:rPr>
        <w:t>侧</w:t>
      </w:r>
      <w:r>
        <w:rPr>
          <w:rFonts w:hint="eastAsia"/>
        </w:rPr>
        <w:t>编码</w:t>
      </w:r>
      <w:r>
        <w:rPr>
          <w:rFonts w:hint="eastAsia"/>
          <w:lang w:val="en-US" w:eastAsia="zh-CN"/>
        </w:rPr>
        <w:t>的</w:t>
      </w:r>
      <w:r>
        <w:rPr>
          <w:rFonts w:hint="eastAsia"/>
        </w:rPr>
        <w:t>额叶眼区域（FEF）响应单元和（3）通过纹状体启动</w:t>
      </w:r>
      <w:r>
        <w:rPr>
          <w:rFonts w:hint="eastAsia"/>
          <w:lang w:val="en-US" w:eastAsia="zh-CN"/>
        </w:rPr>
        <w:t>了</w:t>
      </w:r>
      <w:r>
        <w:rPr>
          <w:rFonts w:hint="eastAsia"/>
        </w:rPr>
        <w:t>门控（类似于a中的</w:t>
      </w:r>
      <w:r>
        <w:rPr>
          <w:rFonts w:hint="eastAsia"/>
          <w:lang w:val="en-US" w:eastAsia="zh-CN"/>
        </w:rPr>
        <w:t>一致</w:t>
      </w:r>
      <w:r>
        <w:rPr>
          <w:rFonts w:hint="eastAsia"/>
        </w:rPr>
        <w:t>试验）。在延迟之后，（4）出现</w:t>
      </w:r>
      <w:r>
        <w:rPr>
          <w:rFonts w:hint="eastAsia"/>
          <w:lang w:val="en-US" w:eastAsia="zh-CN"/>
        </w:rPr>
        <w:t>的</w:t>
      </w:r>
      <w:r>
        <w:rPr>
          <w:rFonts w:hint="eastAsia"/>
        </w:rPr>
        <w:t>停止信号激活</w:t>
      </w:r>
      <w:r>
        <w:rPr>
          <w:rFonts w:hint="eastAsia"/>
          <w:lang w:val="en-US" w:eastAsia="zh-CN"/>
        </w:rPr>
        <w:t>了</w:t>
      </w:r>
      <w:r>
        <w:rPr>
          <w:rFonts w:hint="eastAsia"/>
        </w:rPr>
        <w:t xml:space="preserve">（5）rIFG，其反过来（6）瞬时激活丘脑底核（STN）并最终（7） </w:t>
      </w:r>
      <w:r>
        <w:rPr>
          <w:rFonts w:hint="eastAsia"/>
          <w:lang w:val="en-US" w:eastAsia="zh-CN"/>
        </w:rPr>
        <w:t>导致</w:t>
      </w:r>
      <w:r>
        <w:rPr>
          <w:rFonts w:hint="eastAsia"/>
        </w:rPr>
        <w:t>黑质网状</w:t>
      </w:r>
      <w:r>
        <w:rPr>
          <w:rFonts w:hint="eastAsia"/>
          <w:lang w:val="en-US" w:eastAsia="zh-CN"/>
        </w:rPr>
        <w:t>部</w:t>
      </w:r>
      <w:r>
        <w:rPr>
          <w:rFonts w:hint="eastAsia"/>
        </w:rPr>
        <w:t>（SNr）</w:t>
      </w:r>
      <w:r>
        <w:rPr>
          <w:rFonts w:hint="eastAsia"/>
          <w:lang w:val="en-US" w:eastAsia="zh-CN"/>
        </w:rPr>
        <w:t>全局抑制</w:t>
      </w:r>
      <w:r>
        <w:rPr>
          <w:rFonts w:hint="eastAsia"/>
        </w:rPr>
        <w:t>门控。注意</w:t>
      </w:r>
      <w:r>
        <w:rPr>
          <w:rFonts w:hint="eastAsia"/>
          <w:lang w:val="en-US" w:eastAsia="zh-CN"/>
        </w:rPr>
        <w:t>到</w:t>
      </w:r>
      <w:r>
        <w:rPr>
          <w:rFonts w:hint="eastAsia"/>
        </w:rPr>
        <w:t>，背外侧前额叶皮层（DLPFC）</w:t>
      </w:r>
      <w:r>
        <w:rPr>
          <w:rFonts w:hint="eastAsia"/>
          <w:lang w:val="en-US" w:eastAsia="zh-CN"/>
        </w:rPr>
        <w:t>正在逐渐</w:t>
      </w:r>
      <w:r>
        <w:rPr>
          <w:rFonts w:hint="eastAsia"/>
        </w:rPr>
        <w:t>变得活跃，通过纹状体NoGo单位启动选择性</w:t>
      </w:r>
      <w:r>
        <w:rPr>
          <w:rFonts w:hint="eastAsia"/>
          <w:lang w:val="en-US" w:eastAsia="zh-CN"/>
        </w:rPr>
        <w:t>响应</w:t>
      </w:r>
      <w:r>
        <w:rPr>
          <w:rFonts w:hint="eastAsia"/>
        </w:rPr>
        <w:t>抑制.hyperd.prjn</w:t>
      </w:r>
      <w:r>
        <w:rPr>
          <w:rFonts w:hint="eastAsia"/>
          <w:lang w:val="en-US" w:eastAsia="zh-CN"/>
        </w:rPr>
        <w:t>为</w:t>
      </w:r>
      <w:r>
        <w:rPr>
          <w:rFonts w:hint="eastAsia"/>
        </w:rPr>
        <w:t>超直接投影;CONF</w:t>
      </w:r>
      <w:r>
        <w:rPr>
          <w:rFonts w:hint="eastAsia"/>
          <w:lang w:val="en-US" w:eastAsia="zh-CN"/>
        </w:rPr>
        <w:t>为</w:t>
      </w:r>
      <w:r>
        <w:rPr>
          <w:rFonts w:hint="eastAsia"/>
        </w:rPr>
        <w:t>冲突;GP</w:t>
      </w:r>
      <w:r>
        <w:rPr>
          <w:rFonts w:hint="eastAsia"/>
          <w:lang w:val="en-US" w:eastAsia="zh-CN"/>
        </w:rPr>
        <w:t>e为</w:t>
      </w:r>
      <w:r>
        <w:rPr>
          <w:rFonts w:hint="eastAsia"/>
        </w:rPr>
        <w:t>苍白球的外部部分; SNc</w:t>
      </w:r>
      <w:r>
        <w:rPr>
          <w:rFonts w:hint="eastAsia"/>
          <w:lang w:val="en-US" w:eastAsia="zh-CN"/>
        </w:rPr>
        <w:t xml:space="preserve">为黑质致密部 </w:t>
      </w:r>
      <w:r>
        <w:rPr>
          <w:rFonts w:hint="eastAsia"/>
        </w:rPr>
        <w:t>;SC</w:t>
      </w:r>
      <w:r>
        <w:rPr>
          <w:rFonts w:hint="eastAsia"/>
          <w:lang w:val="en-US" w:eastAsia="zh-CN"/>
        </w:rPr>
        <w:t>为</w:t>
      </w:r>
      <w:r>
        <w:rPr>
          <w:rFonts w:hint="eastAsia"/>
        </w:rPr>
        <w:t>上丘;R1</w:t>
      </w:r>
      <w:r>
        <w:rPr>
          <w:rFonts w:hint="eastAsia"/>
          <w:lang w:val="en-US" w:eastAsia="zh-CN"/>
        </w:rPr>
        <w:t>为</w:t>
      </w:r>
      <w:r>
        <w:rPr>
          <w:rFonts w:hint="eastAsia"/>
        </w:rPr>
        <w:t>响应1;R2</w:t>
      </w:r>
      <w:r>
        <w:rPr>
          <w:rFonts w:hint="eastAsia"/>
          <w:lang w:val="en-US" w:eastAsia="zh-CN"/>
        </w:rPr>
        <w:t>为</w:t>
      </w:r>
      <w:r>
        <w:rPr>
          <w:rFonts w:hint="eastAsia"/>
        </w:rPr>
        <w:t>响应2。</w:t>
      </w:r>
    </w:p>
    <w:p>
      <w:pPr>
        <w:numPr>
          <w:ilvl w:val="0"/>
          <w:numId w:val="0"/>
        </w:numPr>
        <w:ind w:leftChars="0" w:firstLine="420" w:firstLineChars="200"/>
        <w:rPr>
          <w:rFonts w:hint="eastAsia"/>
          <w:lang w:val="en-US" w:eastAsia="zh-CN"/>
        </w:rPr>
      </w:pPr>
      <w:r>
        <w:rPr>
          <w:rFonts w:hint="eastAsia"/>
          <w:lang w:val="en-US" w:eastAsia="zh-CN"/>
        </w:rPr>
        <w:t>网络呈现两种输入刺激之一（左或右），由一列四个单元表示。正如在先前的模拟中，通过从输入单元到对应的FEF响应单元的权重来实现优先响应，使得左侧刺激导致左侧响应。在25％的试验中，停止信号呈现可变延迟（通过刺激感觉输入层中的专用单元）。停止信号单元将兴奋性投影直接发送到rIFG层。超直接通路中的rIFG单元激活STN（Aron，Beh-rens等，2007; Neubert，Mars，Buch，Olivier，＆Rushworth，2010）并抑制纹状体响应通过门控，如果SC还未超过门控阈值，进而抑制其响应。除了这种全局性rIFG-STN响应抑制机制外，DLPFC还将停止信号输入和刺激位置相结合，通过激活相应的纹状体NoGo单位群来选择性地抑制相关的响应。关键的是，这种选择性机制较慢，但在STN返回基准线后仍保持活跃状态并阻止后续响应。因此，该模型使用快速，全局但瞬态的响应抑制机制以及较慢，选择性但持久的抑制机制（Aron，2011）。为了估计SSRT，我们使用动态单上/单下的阶梯程序来调整SSD（例如，Logan，Schachar，＆Tannock，1997; Osman，Kornblum，＆Meyer，1986）。</w:t>
      </w:r>
    </w:p>
    <w:p>
      <w:pPr>
        <w:numPr>
          <w:ilvl w:val="0"/>
          <w:numId w:val="0"/>
        </w:numPr>
        <w:ind w:leftChars="0" w:firstLine="420" w:firstLineChars="200"/>
        <w:rPr>
          <w:rFonts w:hint="eastAsia"/>
          <w:lang w:val="en-US" w:eastAsia="zh-CN"/>
        </w:rPr>
      </w:pPr>
      <w:r>
        <w:rPr>
          <w:rFonts w:hint="eastAsia"/>
          <w:lang w:val="en-US" w:eastAsia="zh-CN"/>
        </w:rPr>
        <w:t>我们通过在参数上降低rIFG对STN的投射强度来测试rIFG病变对SSRT（Aron，Monsell，Sahakian，＆Robbins，2004）的影响。</w:t>
      </w:r>
    </w:p>
    <w:p>
      <w:pPr>
        <w:numPr>
          <w:ilvl w:val="0"/>
          <w:numId w:val="0"/>
        </w:numPr>
        <w:ind w:leftChars="0" w:firstLine="420" w:firstLineChars="200"/>
        <w:rPr>
          <w:rFonts w:hint="eastAsia"/>
          <w:lang w:val="en-US" w:eastAsia="zh-CN"/>
        </w:rPr>
      </w:pPr>
      <w:r>
        <w:rPr>
          <w:rFonts w:hint="eastAsia"/>
          <w:lang w:val="en-US" w:eastAsia="zh-CN"/>
        </w:rPr>
        <w:t>选择性去甲肾上腺素（NE）再摄取抑制剂托莫西汀增加了NE的释放并改善了动物，健康成人和ADHD成人患者的停止信号实验的表现（Chamberlain等，2007,2009）。NE被假设能够适应性地改变额叶皮质中神经元的激活程度（Aston-Jones＆Cohen，2005）。因此，我们测试了降低额皮层神经元增益参数的影响。</w:t>
      </w:r>
    </w:p>
    <w:p>
      <w:pPr>
        <w:numPr>
          <w:ilvl w:val="0"/>
          <w:numId w:val="0"/>
        </w:numPr>
        <w:ind w:leftChars="0" w:firstLine="420" w:firstLineChars="200"/>
        <w:rPr>
          <w:rFonts w:hint="eastAsia"/>
          <w:lang w:val="en-US" w:eastAsia="zh-CN"/>
        </w:rPr>
      </w:pPr>
      <w:r>
        <w:rPr>
          <w:rFonts w:hint="eastAsia"/>
          <w:lang w:val="en-US" w:eastAsia="zh-CN"/>
        </w:rPr>
        <w:t>最后，我们模拟了不同停止信号准确性下的动力影响。Leotti和Wager（2010）的fMRI研究证实了动力偏差的神经基础，他们报告指出，注重响应速度而不是准确性的受试者表现出包括FEF和纹状体在内的与响应正向相关的大脑区域活性的增加。相反，当受试者注重准确性时，则在与响应抑制相关的IFG区域表现出更大的活性。因此，我们用与反扫视模拟类似的方式来模拟这些激活模式以考虑速度和准确性的权衡。在注重速度的条件下，我们调整了FEF与纹状体连接的强度来测试，因为证据表明在强调速度下前纹状体的连通性增强（Forst-mann等，2010,2008; Mansfield，Karayanidis，Jamadar，Heathcote，＆Forstmann，2011 ）。相反，在注重准确性的条件下，我们增加了对rIFG的基础兴奋性输入，使其更兴奋，从而提高STN活性。该模拟通过估计基于假定PFC规则的表示效果，以确定准确性。最近的数据支持以下观点：接收来自rIFG的输入的STN在关注精确性期间显示出增加的与提高响应谨慎性有关的兴奋性（Mansfield等，2011）。</w:t>
      </w:r>
    </w:p>
    <w:p>
      <w:pPr>
        <w:numPr>
          <w:ilvl w:val="0"/>
          <w:numId w:val="0"/>
        </w:numPr>
        <w:ind w:leftChars="0" w:firstLine="422" w:firstLineChars="200"/>
        <w:rPr>
          <w:rFonts w:hint="eastAsia"/>
          <w:lang w:val="en-US" w:eastAsia="zh-CN"/>
        </w:rPr>
      </w:pPr>
      <w:r>
        <w:rPr>
          <w:rFonts w:hint="eastAsia"/>
          <w:b/>
          <w:bCs/>
          <w:lang w:val="en-US" w:eastAsia="zh-CN"/>
        </w:rPr>
        <w:t>结果</w:t>
      </w:r>
    </w:p>
    <w:p>
      <w:pPr>
        <w:numPr>
          <w:ilvl w:val="0"/>
          <w:numId w:val="0"/>
        </w:numPr>
        <w:ind w:leftChars="0" w:firstLine="420" w:firstLineChars="200"/>
        <w:rPr>
          <w:rFonts w:hint="eastAsia"/>
          <w:lang w:val="en-US" w:eastAsia="zh-CN"/>
        </w:rPr>
      </w:pPr>
      <w:r>
        <w:rPr>
          <w:rFonts w:hint="eastAsia"/>
          <w:lang w:val="en-US" w:eastAsia="zh-CN"/>
        </w:rPr>
        <w:t>与上文的SRIT一样，我们从文献中提取了一系列关键定性结果，用于评估模型的拟合度。</w:t>
      </w:r>
    </w:p>
    <w:p>
      <w:pPr>
        <w:numPr>
          <w:ilvl w:val="0"/>
          <w:numId w:val="0"/>
        </w:numPr>
        <w:ind w:leftChars="0" w:firstLine="420" w:firstLineChars="200"/>
        <w:rPr>
          <w:rFonts w:hint="eastAsia"/>
          <w:lang w:val="en-US" w:eastAsia="zh-CN"/>
        </w:rPr>
      </w:pPr>
      <w:r>
        <w:rPr>
          <w:rFonts w:hint="eastAsia"/>
          <w:lang w:val="en-US" w:eastAsia="zh-CN"/>
        </w:rPr>
        <w:t>1.随着SSD的增加，抑制响应的概率降低（Verbruggen＆Logan，2008）。</w:t>
      </w:r>
    </w:p>
    <w:p>
      <w:pPr>
        <w:numPr>
          <w:ilvl w:val="0"/>
          <w:numId w:val="0"/>
        </w:numPr>
        <w:ind w:leftChars="0" w:firstLine="420" w:firstLineChars="200"/>
        <w:rPr>
          <w:rFonts w:hint="eastAsia"/>
          <w:lang w:val="en-US" w:eastAsia="zh-CN"/>
        </w:rPr>
      </w:pPr>
      <w:r>
        <w:rPr>
          <w:rFonts w:hint="eastAsia"/>
          <w:lang w:val="en-US" w:eastAsia="zh-CN"/>
        </w:rPr>
        <w:t>2.在无停止信号试验中，没有抑制的错误响应平均上比正确响应更快。然而，虽然响应强度初始分布值都是相同的最小值，但没有抑制的错误响应强度具有较小的最大值（Verbruggen＆Logan，2008）。</w:t>
      </w:r>
    </w:p>
    <w:p>
      <w:pPr>
        <w:numPr>
          <w:ilvl w:val="0"/>
          <w:numId w:val="0"/>
        </w:numPr>
        <w:ind w:leftChars="0" w:firstLine="420" w:firstLineChars="200"/>
        <w:rPr>
          <w:rFonts w:hint="eastAsia"/>
          <w:lang w:val="en-US" w:eastAsia="zh-CN"/>
        </w:rPr>
      </w:pPr>
      <w:r>
        <w:rPr>
          <w:rFonts w:hint="eastAsia"/>
          <w:lang w:val="en-US" w:eastAsia="zh-CN"/>
        </w:rPr>
        <w:t>3.STN神经元被激发以停止信号，但在停止信号抑制实验和停止响应错误试验之间几乎没有区别（Aron，Behrens，et al。，2007）。相反，下游的SNr神经元在正确的试验中被激发，但在错误试验期间被抑制（Schmidt，Leventhal，Petti-bone，Case，＆Berke，2012）。</w:t>
      </w:r>
    </w:p>
    <w:p>
      <w:pPr>
        <w:numPr>
          <w:ilvl w:val="0"/>
          <w:numId w:val="0"/>
        </w:numPr>
        <w:ind w:leftChars="0" w:firstLine="420" w:firstLineChars="200"/>
        <w:rPr>
          <w:rFonts w:hint="eastAsia"/>
          <w:lang w:val="en-US" w:eastAsia="zh-CN"/>
        </w:rPr>
      </w:pPr>
      <w:r>
        <w:rPr>
          <w:rFonts w:hint="eastAsia"/>
          <w:lang w:val="en-US" w:eastAsia="zh-CN"/>
        </w:rPr>
        <w:t>4.停止信号实验和停止响应试验中，SEF神经元在SSRT后被激活，因此无法有助于成功停止（Stuphorn，Taylor，＆Schall，2000）。</w:t>
      </w:r>
    </w:p>
    <w:p>
      <w:pPr>
        <w:numPr>
          <w:ilvl w:val="0"/>
          <w:numId w:val="0"/>
        </w:numPr>
        <w:ind w:leftChars="0" w:firstLine="422" w:firstLineChars="200"/>
        <w:rPr>
          <w:rFonts w:hint="eastAsia"/>
          <w:lang w:val="en-US" w:eastAsia="zh-CN"/>
        </w:rPr>
      </w:pPr>
      <w:r>
        <w:rPr>
          <w:rFonts w:hint="eastAsia"/>
          <w:b/>
          <w:bCs/>
          <w:lang w:val="en-US" w:eastAsia="zh-CN"/>
        </w:rPr>
        <w:t>行为</w:t>
      </w:r>
      <w:r>
        <w:rPr>
          <w:rFonts w:hint="eastAsia"/>
          <w:lang w:val="en-US" w:eastAsia="zh-CN"/>
        </w:rPr>
        <w:t xml:space="preserve"> </w:t>
      </w:r>
    </w:p>
    <w:p>
      <w:pPr>
        <w:numPr>
          <w:ilvl w:val="0"/>
          <w:numId w:val="0"/>
        </w:numPr>
        <w:ind w:leftChars="0" w:firstLine="420" w:firstLineChars="200"/>
        <w:rPr>
          <w:rFonts w:hint="eastAsia"/>
          <w:lang w:val="en-US" w:eastAsia="zh-CN"/>
        </w:rPr>
      </w:pPr>
      <w:r>
        <w:rPr>
          <w:rFonts w:hint="eastAsia"/>
          <w:lang w:val="en-US" w:eastAsia="zh-CN"/>
        </w:rPr>
        <w:t>为了说明阶梯过程，图11a显示了如何调整SSD以评估50％停止信号准确度的示例。可以看出，具有rIFG病变的网络在停止信号上受损并且平均需要较短的SSD以成功抑制。</w:t>
      </w:r>
    </w:p>
    <w:p>
      <w:pPr>
        <w:numPr>
          <w:ilvl w:val="0"/>
          <w:numId w:val="0"/>
        </w:numPr>
        <w:ind w:leftChars="0" w:firstLine="420" w:firstLineChars="200"/>
        <w:rPr>
          <w:rFonts w:hint="eastAsia"/>
          <w:lang w:val="en-US" w:eastAsia="zh-CN"/>
        </w:rPr>
      </w:pPr>
      <w:r>
        <w:rPr>
          <w:rFonts w:hint="eastAsia"/>
          <w:lang w:val="en-US" w:eastAsia="zh-CN"/>
        </w:rPr>
        <w:t>从图11b中可以看出，通过系统测试神经网络在不同SSDs下抑制功能的区别揭示了正确抑制的单调递减概率（定性模式1）。</w:t>
      </w:r>
    </w:p>
    <w:p>
      <w:pPr>
        <w:numPr>
          <w:ilvl w:val="0"/>
          <w:numId w:val="0"/>
        </w:numPr>
        <w:ind w:leftChars="0" w:firstLine="420" w:firstLineChars="200"/>
        <w:rPr>
          <w:rFonts w:hint="eastAsia"/>
          <w:lang w:val="en-US" w:eastAsia="zh-CN"/>
        </w:rPr>
      </w:pPr>
      <w:r>
        <w:rPr>
          <w:rFonts w:hint="eastAsia"/>
          <w:lang w:val="en-US" w:eastAsia="zh-CN"/>
        </w:rPr>
        <w:t>Go和未取消的停止试验的累积RT分布如图12所示。两种分布匹配相近，直到SSD+ SSRT阶段（定性模式2），这表明两者都是由同一过程生成的。</w:t>
      </w:r>
    </w:p>
    <w:p>
      <w:pPr>
        <w:numPr>
          <w:ilvl w:val="0"/>
          <w:numId w:val="0"/>
        </w:numPr>
        <w:ind w:leftChars="0" w:firstLine="420" w:firstLineChars="200"/>
        <w:rPr>
          <w:rFonts w:hint="eastAsia"/>
          <w:lang w:val="en-US" w:eastAsia="zh-CN"/>
        </w:rPr>
      </w:pPr>
      <w:r>
        <w:rPr>
          <w:rFonts w:hint="eastAsia"/>
          <w:lang w:val="en-US" w:eastAsia="zh-CN"/>
        </w:rPr>
        <w:t>不同的调制以不同的方式影响GoRT和SSRT（参见图13a和13b）。虽然DA操纵肯定会加速GoRT，但SSRT基本上不受影响。另一方面，当网络以降低的增益水平（模拟低NE水平）进行测试，或者在STN或rIFG上有损伤时，它表现出SSRT缺陷（增加）。最后，模拟注重精确度的模型导致GoRT减慢但SSRT更快（更有效的抑制）。从这些结果中得出的模式是通过调节全局抑制途径（rIFG和STN）上的部分参数来改变SSRT。</w:t>
      </w:r>
    </w:p>
    <w:p>
      <w:pPr>
        <w:numPr>
          <w:ilvl w:val="0"/>
          <w:numId w:val="0"/>
        </w:numPr>
        <w:ind w:leftChars="0" w:firstLine="422" w:firstLineChars="200"/>
        <w:rPr>
          <w:rFonts w:hint="eastAsia"/>
          <w:b/>
          <w:bCs/>
          <w:lang w:val="en-US" w:eastAsia="zh-CN"/>
        </w:rPr>
      </w:pPr>
      <w:r>
        <w:rPr>
          <w:rFonts w:hint="eastAsia"/>
          <w:b/>
          <w:bCs/>
          <w:lang w:val="en-US" w:eastAsia="zh-CN"/>
        </w:rPr>
        <w:t>神经生理学</w:t>
      </w:r>
    </w:p>
    <w:p>
      <w:pPr>
        <w:numPr>
          <w:ilvl w:val="0"/>
          <w:numId w:val="0"/>
        </w:numPr>
        <w:ind w:leftChars="0" w:firstLine="420" w:firstLineChars="200"/>
        <w:rPr>
          <w:rFonts w:hint="eastAsia"/>
          <w:lang w:val="en-US" w:eastAsia="zh-CN"/>
        </w:rPr>
      </w:pPr>
      <w:r>
        <w:rPr>
          <w:rFonts w:hint="eastAsia"/>
          <w:lang w:val="en-US" w:eastAsia="zh-CN"/>
        </w:rPr>
        <w:t>为了评估我们模型中停止行为的神经相关性，我们分析了STN和SNr在停止信号发作期间的活性。从图14中可以看出，STN活性停止信号成功抑制和错误试验之间几乎没有区别，而SNr单位在错误试验中显示明显下降，这在成功抑制试验中不太明显（定性模式3）。</w:t>
      </w:r>
    </w:p>
    <w:p>
      <w:pPr>
        <w:numPr>
          <w:ilvl w:val="0"/>
          <w:numId w:val="0"/>
        </w:numPr>
        <w:ind w:leftChars="0" w:firstLine="420" w:firstLineChars="200"/>
        <w:rPr>
          <w:rFonts w:hint="eastAsia"/>
          <w:lang w:val="en-US" w:eastAsia="zh-CN"/>
        </w:rPr>
      </w:pPr>
      <w:r>
        <w:rPr>
          <w:rFonts w:hint="eastAsia"/>
          <w:lang w:val="en-US" w:eastAsia="zh-CN"/>
        </w:rPr>
        <w:t>此外，我们还分析了由DLPFC，SEF和pre-SMA组成的执行控制复合体的活动模式。从图14中可以看出，在停止信号试验（停止响应和成功抑制）中，其仅在SSRT后观察到激活，因此复合体对停止没有影响（定性模式3）。该结果意味着全局停止的突出停止信号很可能是被rIFG-STN超直接通路上的快速停止过程驱动的。我们可以确定执行控制过程被该全局停止机制延迟，并且在全局响应抑制结束后参与选择性响应抑制（以及在停止变化任务中，激活正确响应）。</w:t>
      </w:r>
    </w:p>
    <w:p>
      <w:pPr>
        <w:numPr>
          <w:ilvl w:val="0"/>
          <w:numId w:val="0"/>
        </w:numPr>
        <w:ind w:leftChars="0" w:firstLine="420" w:firstLineChars="200"/>
      </w:pPr>
      <w:r>
        <w:drawing>
          <wp:inline distT="0" distB="0" distL="114300" distR="114300">
            <wp:extent cx="5270500" cy="2174240"/>
            <wp:effectExtent l="0" t="0" r="2540"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270500" cy="2174240"/>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11.（a）在右侧额下回（rIFG）和丘脑底核（STN）之间连通性减少的网络中调整停止信号延迟（SSD）的阶梯程序的过程。试验编号绘制在x轴上，SSD以毫秒为单位（从模拟器转换的时间）绘制在y轴上。如果在停止信号试验中成功抑制响应，则SSD会增加20 ms以使其更难抑制响应。如果在停止信号试验中做出错误的响应，则SSD减少20 ms。没有病变的网络通常代表最高效的停止过程，即使SSD很长也能够阻止响应。（b）神经网络模型在停止信号任务中的抑制功能。该模型以毫秒为单位对不同级别的SSD上进行系统测试，并且沿y轴绘制正确抑制试验的比例。</w:t>
      </w:r>
    </w:p>
    <w:p>
      <w:pPr>
        <w:numPr>
          <w:ilvl w:val="0"/>
          <w:numId w:val="0"/>
        </w:numPr>
        <w:ind w:leftChars="0" w:firstLine="420" w:firstLineChars="200"/>
      </w:pPr>
      <w:r>
        <w:drawing>
          <wp:inline distT="0" distB="0" distL="114300" distR="114300">
            <wp:extent cx="5266055" cy="2187575"/>
            <wp:effectExtent l="0" t="0" r="698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266055" cy="2187575"/>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图12.（a）神经网络模型的累积响应时间（RT）分布。（b）来自猴子实验的对比累积RT分布（基于Lo等人，2009的数据）。红色实线表示平均停止信号延迟（SSD）; 红色虚线表示SSD处的停止信号响应时间（SSRT）偏移。蓝色虚线表示50％的停止精确度。注意到，响应分布总和为响应概率——不一定为1。</w:t>
      </w:r>
    </w:p>
    <w:p>
      <w:pPr>
        <w:numPr>
          <w:ilvl w:val="0"/>
          <w:numId w:val="0"/>
        </w:numPr>
        <w:ind w:leftChars="0" w:firstLine="420" w:firstLineChars="200"/>
      </w:pPr>
      <w:r>
        <w:drawing>
          <wp:inline distT="0" distB="0" distL="114300" distR="114300">
            <wp:extent cx="5269865" cy="2016760"/>
            <wp:effectExtent l="0" t="0" r="3175"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269865" cy="2016760"/>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13.（a）不同调节下（见文中）Go试验的平均响应时间（RTs），时间以毫秒为单位（从模拟器时间转换而来）。（b）a）不同调节下（见文中）平均停止信号响应时间（SSRT），时间以毫秒为单位（从模拟器时间转换而来）。DA为多巴胺; act为活性; NE为去甲肾上腺素; rIFG为右侧额下回; pre-SMA为前辅助运动皮质; IFG为额下回; STN为丘脑底核; SNr为黑质网状部。</w:t>
      </w:r>
    </w:p>
    <w:p>
      <w:pPr>
        <w:jc w:val="center"/>
        <w:rPr>
          <w:rFonts w:hint="eastAsia"/>
          <w:b/>
          <w:bCs/>
          <w:sz w:val="30"/>
          <w:szCs w:val="30"/>
          <w:lang w:val="en-US" w:eastAsia="zh-CN"/>
        </w:rPr>
      </w:pPr>
      <w:r>
        <w:rPr>
          <w:rFonts w:hint="eastAsia"/>
          <w:b/>
          <w:bCs/>
          <w:sz w:val="30"/>
          <w:szCs w:val="30"/>
          <w:lang w:val="en-US" w:eastAsia="zh-CN"/>
        </w:rPr>
        <w:t>讨论</w:t>
      </w:r>
    </w:p>
    <w:p>
      <w:pPr>
        <w:numPr>
          <w:ilvl w:val="0"/>
          <w:numId w:val="0"/>
        </w:numPr>
        <w:ind w:leftChars="0" w:firstLine="420" w:firstLineChars="200"/>
        <w:rPr>
          <w:rFonts w:hint="eastAsia"/>
          <w:lang w:val="en-US" w:eastAsia="zh-CN"/>
        </w:rPr>
      </w:pPr>
      <w:r>
        <w:rPr>
          <w:rFonts w:hint="eastAsia"/>
          <w:lang w:val="en-US" w:eastAsia="zh-CN"/>
        </w:rPr>
        <w:t>执行控制和习惯行为之间的相互作用是高级脑功能的核心特征，并且在认知心理学（在“系统1”与“系统2”的范围内; Evans，2003）的各个领域的机器学习中（无模型与基于模型的控制; Daw，Niv，＆Dayan，2005）发挥作用。这种互动的核心是这样一种机制：允许执行控制覆盖习惯系统并指导行为选择。</w:t>
      </w:r>
      <w:r>
        <w:rPr>
          <w:rFonts w:hint="eastAsia"/>
          <w:highlight w:val="none"/>
          <w:lang w:val="en-US" w:eastAsia="zh-CN"/>
        </w:rPr>
        <w:t>大量的心理认知实验已经被用来探究这种相互作用的本质。停止信号任务需要在规划阶段彻底停止响应。</w:t>
      </w:r>
      <w:r>
        <w:rPr>
          <w:rFonts w:hint="eastAsia"/>
          <w:lang w:val="en-US" w:eastAsia="zh-CN"/>
        </w:rPr>
        <w:t>反扫视（Hallett，1978），西蒙（Simon，1969）和扫视覆盖（Isoda＆Hikosaka，2007,2008）任务都涉及对优先行为的抑制，以及对另一种行为的启动。尽管这些任务的行为看上去很简单，但各种研究结果都显示出一种高度复杂且互相联系紧密的大脑网络，其中基础响应抑制机制由DLPFC，SEF，pre-SMA，FEF，rIFG，dACC以及包括纹状体和STN在内的基底神经节结构等前额区域构成。</w:t>
      </w:r>
    </w:p>
    <w:p>
      <w:pPr>
        <w:numPr>
          <w:ilvl w:val="0"/>
          <w:numId w:val="0"/>
        </w:numPr>
        <w:ind w:leftChars="0" w:firstLine="420" w:firstLineChars="200"/>
        <w:rPr>
          <w:rFonts w:hint="eastAsia"/>
          <w:lang w:val="en-US" w:eastAsia="zh-CN"/>
        </w:rPr>
      </w:pPr>
    </w:p>
    <w:p>
      <w:pPr>
        <w:numPr>
          <w:ilvl w:val="0"/>
          <w:numId w:val="0"/>
        </w:numPr>
        <w:ind w:leftChars="0" w:firstLine="420" w:firstLineChars="200"/>
        <w:rPr>
          <w:rFonts w:hint="eastAsia"/>
          <w:lang w:val="en-US" w:eastAsia="zh-CN"/>
        </w:rPr>
      </w:pPr>
      <w:r>
        <w:rPr>
          <w:rFonts w:hint="eastAsia"/>
          <w:lang w:val="en-US" w:eastAsia="zh-CN"/>
        </w:rPr>
        <w:t>我们提出了一种具有选择性和全局性的响应抑制的动态神经网络模型，它提供了由独立大脑区域和神经递质进行的分布式运算的描述。该模型的复杂性在于成熟的神经解剖学和生理学观点，并且解释了电生理学，精神病学以及药理学调节，行为，病变和成像研究的大量关键数据。此外，该模型受到（i）在完整功能的模拟中仅使用单个参数化，以及（ii）具有不同分析水平的需要拟合得大量定性结果的约束。虽然我们在完整模型模拟中仅使用单个参数化，但是我们还通过一系列参数的系统操作来概括功能。在其他工作中（Wiecki＆Frank，2010a），我们已经证明，整个复杂系统的基本计算属性是通过使用改进的漂移扩散模型进行的分析捕获的，其中神经模型中的不同机制（例如，STN的投射强度 ，DLPFC的速度）与高级决策参数（例如，决策阈值和执行过程的漂移率）相关。</w:t>
      </w:r>
    </w:p>
    <w:p>
      <w:pPr>
        <w:numPr>
          <w:ilvl w:val="0"/>
          <w:numId w:val="0"/>
        </w:numPr>
        <w:ind w:leftChars="0" w:firstLine="420" w:firstLineChars="200"/>
      </w:pPr>
      <w:r>
        <w:drawing>
          <wp:inline distT="0" distB="0" distL="114300" distR="114300">
            <wp:extent cx="5266690" cy="1451610"/>
            <wp:effectExtent l="0" t="0" r="6350"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5266690" cy="1451610"/>
                    </a:xfrm>
                    <a:prstGeom prst="rect">
                      <a:avLst/>
                    </a:prstGeom>
                    <a:noFill/>
                    <a:ln w="9525">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图14.成功抑制和错误的停止信号试验中的停止信号发作的平均Go活性。（a）纹状体Go神经元活性。（b）黑质网状部（SNr）的活性。（c）丘脑底核（STN）的活性。（d）由背外侧前额叶皮层（DLPFC），辅助眼部区域（SEF）和前辅助运动皮质（pre-SMA）组成的执行控制复合体的活性。SSD为停止信号延迟; SSRT为停止信号反应时间; PFC为前额皮质。</w:t>
      </w:r>
    </w:p>
    <w:p>
      <w:pPr>
        <w:numPr>
          <w:ilvl w:val="0"/>
          <w:numId w:val="0"/>
        </w:numPr>
        <w:rPr>
          <w:rFonts w:hint="eastAsia"/>
          <w:b/>
          <w:bCs/>
          <w:lang w:val="en-US" w:eastAsia="zh-CN"/>
        </w:rPr>
      </w:pPr>
    </w:p>
    <w:p>
      <w:pPr>
        <w:numPr>
          <w:ilvl w:val="0"/>
          <w:numId w:val="0"/>
        </w:numPr>
        <w:rPr>
          <w:rFonts w:hint="eastAsia"/>
          <w:b/>
          <w:bCs/>
          <w:lang w:val="en-US" w:eastAsia="zh-CN"/>
        </w:rPr>
      </w:pPr>
      <w:r>
        <w:rPr>
          <w:rFonts w:hint="eastAsia"/>
          <w:b/>
          <w:bCs/>
          <w:lang w:val="en-US" w:eastAsia="zh-CN"/>
        </w:rPr>
        <w:t>选择性响应抑制</w:t>
      </w:r>
    </w:p>
    <w:p>
      <w:pPr>
        <w:numPr>
          <w:ilvl w:val="0"/>
          <w:numId w:val="0"/>
        </w:numPr>
        <w:ind w:leftChars="0" w:firstLine="420" w:firstLineChars="200"/>
        <w:rPr>
          <w:rFonts w:hint="eastAsia"/>
          <w:lang w:val="en-US" w:eastAsia="zh-CN"/>
        </w:rPr>
      </w:pPr>
      <w:r>
        <w:rPr>
          <w:rFonts w:hint="eastAsia"/>
          <w:lang w:val="en-US" w:eastAsia="zh-CN"/>
        </w:rPr>
        <w:t>在我们的SRIT模拟中，模型假设对出现的刺激（例如，优先扫视）进行扫视的优先反射动作被皮质间的路径选择，并且由BG快速通过。大量数据表明BG参与了扫视的生成和抑制（例如，Hikosaka，1989; Hikosaka等，2000; Hikosaka和Wurtz，1986）。相反，认知控制系统不仅代表了正确响应所需的任务规则（例如，在DLPFC中），而且还结合了dACC-STN中的下游机制以检测在规则下，初始优先行为何时需要被其他行为替代。因此，我们的模型综合了dACC在响应冲突方面的当前解释（Bot-vinick，Braver，Barch，Carter，＆Cohen，2001）：最近研究表明dACC反映了替代行为的价值（Kolling等， 2012）。</w:t>
      </w:r>
      <w:r>
        <w:rPr>
          <w:rFonts w:hint="eastAsia"/>
          <w:highlight w:val="none"/>
          <w:lang w:val="en-US" w:eastAsia="zh-CN"/>
        </w:rPr>
        <w:t>此外，</w:t>
      </w:r>
      <w:r>
        <w:rPr>
          <w:rFonts w:hint="eastAsia"/>
          <w:lang w:val="en-US" w:eastAsia="zh-CN"/>
        </w:rPr>
        <w:t>通过到STN的超直接路径，该机制可以迅速增加BG的门控阈值以防止促进优先行为，并让受控PFC-纹状体机制有更多时间进行选择性地抑制该响应并支持其他适当的替代行动。同时，该模型还表明SEF，FEF（Munoz＆Everling，2004），dACC（Botvinick等，2004），pre-SMA（Isoda＆Hikosaka，2007）和STN（Isoda＆Hikosaka，2008）参与了初始优先响应和当前规则下正确响应之间冲突的检测，和帮助从自动响应到意志响应的切换（例如，反扫视实验）。</w:t>
      </w:r>
    </w:p>
    <w:p>
      <w:pPr>
        <w:numPr>
          <w:ilvl w:val="0"/>
          <w:numId w:val="0"/>
        </w:numPr>
        <w:ind w:leftChars="0" w:firstLine="420" w:firstLineChars="200"/>
        <w:rPr>
          <w:rFonts w:hint="eastAsia"/>
          <w:lang w:val="en-US" w:eastAsia="zh-CN"/>
        </w:rPr>
      </w:pPr>
      <w:r>
        <w:rPr>
          <w:rFonts w:hint="eastAsia"/>
          <w:lang w:val="en-US" w:eastAsia="zh-CN"/>
        </w:rPr>
        <w:t>为了检测反射响应和受控响应之间的冲突，系统需要能够计算受控响应本身的正确定位。在模型中，DLPFC整合任务指令和当前刺激位置，并形成一个联合规则表示（Bunge＆Wallis，2008; Wallis＆Miller，2003），然后通过其对FEF的投射提供相关受控响应的信息，并进一步通过纹状体偏置这种响应的门控（和选择性抑制反射响应）。我们通过说明具有更快整合速度的模型无法解释关键行为模式，从而证明了该过程是我们模型的必要条件。</w:t>
      </w:r>
    </w:p>
    <w:p>
      <w:pPr>
        <w:numPr>
          <w:ilvl w:val="0"/>
          <w:numId w:val="0"/>
        </w:numPr>
        <w:ind w:leftChars="0" w:firstLine="420" w:firstLineChars="200"/>
        <w:rPr>
          <w:rFonts w:hint="eastAsia"/>
          <w:lang w:val="en-US" w:eastAsia="zh-CN"/>
        </w:rPr>
      </w:pPr>
      <w:r>
        <w:rPr>
          <w:rFonts w:hint="eastAsia"/>
          <w:lang w:val="en-US" w:eastAsia="zh-CN"/>
        </w:rPr>
        <w:t>因此，应该清楚的是，与一致响应相比，不一致的响应应该（i）更容易出错，因为它依赖于对优先行为的成功抑制，然而优先响应在检测到冲突时可能已经接近阈值（ii）持续时间更长，因为（iia）DLPFC执行必要的响应转换需要额外计算（基于输入和指令的整合，在多个候选响应之间激活正确的响应），以及（iib）由超直接通路的决策阈值的增加引起的对响应通过门控的延迟。</w:t>
      </w:r>
    </w:p>
    <w:p>
      <w:pPr>
        <w:numPr>
          <w:ilvl w:val="0"/>
          <w:numId w:val="0"/>
        </w:numPr>
        <w:ind w:leftChars="0" w:firstLine="420" w:firstLineChars="200"/>
        <w:rPr>
          <w:rFonts w:hint="eastAsia"/>
          <w:lang w:val="en-US" w:eastAsia="zh-CN"/>
        </w:rPr>
      </w:pPr>
      <w:r>
        <w:rPr>
          <w:rFonts w:hint="eastAsia"/>
          <w:lang w:val="en-US" w:eastAsia="zh-CN"/>
        </w:rPr>
        <w:t>干扰控制的早期认知模型假定了行为选择的双重路径机制，包括自动响应路径和意志响应路径（Eimer，1995;科恩布卢姆，HAS-broucq，与奥斯曼，1990;Ridderinkhof，2002; D. Wang，Kristjansson，＆Nakayama，2005）。该模型扩展了意志响应机制引起的选择性抑制自动响应（即激活—抑制模型;Ridderinkhof，2002;Ridderinkhof等，2011）我们的模型也有这些属性，但对这一讨论做出了两个重要贡献：（1）对这些抽象认知过程的神经相关性的成功预测，以及（ⅱ）决策阈值的提高使得响应通过门控需要更多信息。后一种机制不仅可以作为防止优先行为通过门控的快速途径，而且还可以提高最准确替代行动被选的可能性（特别是当存在多个被选响应时，通常情况下，比起简单的响应抑制任务，这种情况容易出现在更为现实的执行控制方案中 ）。</w:t>
      </w:r>
    </w:p>
    <w:p>
      <w:pPr>
        <w:numPr>
          <w:ilvl w:val="0"/>
          <w:numId w:val="0"/>
        </w:numPr>
        <w:rPr>
          <w:rFonts w:hint="eastAsia"/>
          <w:b/>
          <w:bCs/>
          <w:i w:val="0"/>
          <w:iCs w:val="0"/>
          <w:lang w:val="en-US" w:eastAsia="zh-CN"/>
        </w:rPr>
      </w:pPr>
      <w:r>
        <w:rPr>
          <w:rFonts w:hint="eastAsia"/>
          <w:b/>
          <w:bCs/>
          <w:i w:val="0"/>
          <w:iCs w:val="0"/>
          <w:lang w:val="en-US" w:eastAsia="zh-CN"/>
        </w:rPr>
        <w:t>响应时间分布和误差：神经基础</w:t>
      </w:r>
    </w:p>
    <w:p>
      <w:pPr>
        <w:numPr>
          <w:ilvl w:val="0"/>
          <w:numId w:val="0"/>
        </w:numPr>
        <w:ind w:leftChars="0" w:firstLine="420" w:firstLineChars="200"/>
        <w:rPr>
          <w:rFonts w:hint="eastAsia"/>
          <w:lang w:val="en-US" w:eastAsia="zh-CN"/>
        </w:rPr>
      </w:pPr>
      <w:r>
        <w:rPr>
          <w:rFonts w:hint="eastAsia"/>
          <w:lang w:val="en-US" w:eastAsia="zh-CN"/>
        </w:rPr>
        <w:t>在行为层面，我们完整的模型重现了实验中的相同模式——相比于一致性试验，网络在不一致实验中产生更多错误（参见图3a），并且一般来说更慢（参见图3b）（例如，Harris等人。，2006; McDowell等，2002; Reilly等，2006,2007）。当网络快速响应时，不一致的错误更容易发生（参见图4和5a以及Ridderinkhof等，2011）。这些误差主要因为认知控制（DLPFC）不同的速度，同时也因为优先响应过程（部分试验中的门控通过速度更快）和抑制过程（在一些试验中，超直接途径或纹状体NoGo过程比较慢）的速度。此外，降低的DLPFC连通性也降低了不一致试验的准确性，这也反映了反扫视任务中，DLPFC连通性降低会使得训练中的经验性能下降（Hwang，Velanova，＆Luna，2010）。不同试验类型的大脑区域的模拟电生理学有对这些动态过程的更明确的探究。</w:t>
      </w:r>
    </w:p>
    <w:p>
      <w:pPr>
        <w:numPr>
          <w:ilvl w:val="0"/>
          <w:numId w:val="0"/>
        </w:numPr>
        <w:rPr>
          <w:rFonts w:hint="eastAsia"/>
          <w:b/>
          <w:bCs/>
          <w:lang w:val="en-US" w:eastAsia="zh-CN"/>
        </w:rPr>
      </w:pPr>
      <w:r>
        <w:rPr>
          <w:rFonts w:hint="eastAsia"/>
          <w:b/>
          <w:bCs/>
          <w:lang w:val="en-US" w:eastAsia="zh-CN"/>
        </w:rPr>
        <w:t>与冲突相关和错误相关的活动：与现有模型的关系</w:t>
      </w:r>
    </w:p>
    <w:p>
      <w:pPr>
        <w:numPr>
          <w:ilvl w:val="0"/>
          <w:numId w:val="0"/>
        </w:numPr>
        <w:ind w:leftChars="0" w:firstLine="420" w:firstLineChars="200"/>
        <w:rPr>
          <w:rFonts w:hint="eastAsia"/>
          <w:lang w:val="en-US" w:eastAsia="zh-CN"/>
        </w:rPr>
      </w:pPr>
      <w:r>
        <w:rPr>
          <w:rFonts w:hint="eastAsia"/>
          <w:lang w:val="en-US" w:eastAsia="zh-CN"/>
        </w:rPr>
        <w:t>错误相关负波（ERN）是与强制选择响应时间任务中的错误相关的事件相关电位（Falkenstein等，1991; Gehring等，1993）。ERN在错误响应后100毫秒内达到峰值。使用连接模型，Yeung及其同事假设ERN反映了已经被执行的，错误的响应与正在发生的正确响应的激活之间的冲突（Yeung等，2004; Yeung＆Cohen，2006）。因此，错误检测机制反映了执行过的响应的内部校正，导致了短暂的响应冲突。根据相同原理，如果在错误响应通过门控前冲突及时解决，那么在正确响应通过前，应该能在高冲突试验中观察到类似的情况。这些作者确实报道了N2电位表现出了这种情况，并认为它反映了dACC中相同的潜在冲突机制。</w:t>
      </w:r>
    </w:p>
    <w:p>
      <w:pPr>
        <w:numPr>
          <w:ilvl w:val="0"/>
          <w:numId w:val="0"/>
        </w:numPr>
        <w:ind w:leftChars="0" w:firstLine="420" w:firstLineChars="200"/>
        <w:rPr>
          <w:rFonts w:hint="eastAsia"/>
          <w:lang w:val="en-US" w:eastAsia="zh-CN"/>
        </w:rPr>
      </w:pPr>
      <w:r>
        <w:rPr>
          <w:rFonts w:hint="eastAsia"/>
          <w:lang w:val="en-US" w:eastAsia="zh-CN"/>
        </w:rPr>
        <w:t>我们的dACC节点在如下时间表现出相同的活性增加的定性模式：（i）在正确的不一致响应之前（ii）在不正确的不一致响应之后以及（iii）在一致响应期间的基础活动。然而，这种模式并不被认为是来自dACC的ERP所特有的，也存在于pre-SMA，SEF（Emeric，Leslie，Pouget，＆Schall，2010）和STN（Isoda＆Hikosaka，2008）的电生理记录中。我们的模型提供了一个明确的框架，概括了这些变化特点，并探讨了它们对行为的影响。总之，这些活动符合我们之前的猜想，即我们的模型结合了冲突模型与dACC反映替代行动的价值的概念：当替代行动被认为比优先行动更正确时，该网络才会被激活。此过程在响应执行之前或之后发生（如在冲突观测情况中），但必须始终在最初错误响应（通常是优先响应）激活之后发生（并不只在冲突情况下出现，备选响应与优先响应刺激程度接近时也会出现）。</w:t>
      </w:r>
    </w:p>
    <w:p>
      <w:pPr>
        <w:numPr>
          <w:ilvl w:val="0"/>
          <w:numId w:val="0"/>
        </w:numPr>
        <w:rPr>
          <w:rFonts w:hint="eastAsia"/>
          <w:b/>
          <w:bCs/>
          <w:lang w:val="en-US" w:eastAsia="zh-CN"/>
        </w:rPr>
      </w:pPr>
      <w:r>
        <w:rPr>
          <w:rFonts w:hint="eastAsia"/>
          <w:b/>
          <w:bCs/>
          <w:lang w:val="en-US" w:eastAsia="zh-CN"/>
        </w:rPr>
        <w:t>全局响应抑制</w:t>
      </w:r>
    </w:p>
    <w:p>
      <w:pPr>
        <w:numPr>
          <w:ilvl w:val="0"/>
          <w:numId w:val="0"/>
        </w:numPr>
        <w:ind w:leftChars="0" w:firstLine="420" w:firstLineChars="200"/>
        <w:rPr>
          <w:rFonts w:hint="eastAsia"/>
          <w:lang w:val="en-US" w:eastAsia="zh-CN"/>
        </w:rPr>
      </w:pPr>
      <w:r>
        <w:rPr>
          <w:rFonts w:hint="eastAsia"/>
          <w:lang w:val="en-US" w:eastAsia="zh-CN"/>
        </w:rPr>
        <w:t>通过在我们的模型中添加单个rIFG层，我们推广了模型，以捕获来自全局响应抑制任务（如SST）的数据。如上所述，该模型再现了文献中报道的关键定性行为模式。此外，模型神经生理学揭示了与近期SST中老鼠电生理记录之间有趣的相似性（Schmidt等，2012）。具体而言，无论响应是否成功被抑制，STN都会响应进而停止信号并增加相同程度的活性，但SNr中的活性在这些试验类型之间存在很大差异。在错误实验期间，尽管STN活性激增，纹状体Go信号具有足够的优先权来抑制SNr活性。这些结果表明，响应抑制错误的来源是Go过程中的差异，但是停止过程的持续时间是相对固定的。这种概念化与交互式赛马模型（Verbruggen＆Logan，2009）很匹配。在这里，我们假设两个过程之间的相互作用的关键点是SNr。</w:t>
      </w:r>
    </w:p>
    <w:p>
      <w:pPr>
        <w:numPr>
          <w:ilvl w:val="0"/>
          <w:numId w:val="0"/>
        </w:numPr>
        <w:ind w:leftChars="0" w:firstLine="420" w:firstLineChars="200"/>
        <w:rPr>
          <w:rFonts w:hint="eastAsia"/>
          <w:lang w:val="en-US" w:eastAsia="zh-CN"/>
        </w:rPr>
      </w:pPr>
      <w:r>
        <w:rPr>
          <w:rFonts w:hint="eastAsia"/>
          <w:lang w:val="en-US" w:eastAsia="zh-CN"/>
        </w:rPr>
        <w:t>为什么我们在初始模型已经包含了一个包括DLPFC在内的执行控制复合体的前提下，又添加了一个rIFG层？如上所述，rIFG和STN在SST中的参与过程已经建立完成，然而，模拟显示执行控制复合体中支持SRIT的激活系统速度太慢而不能支持SST中所需的全局响应抑制。即使加入rIFG层，检测何时需要抑制控制以及如何实施抑制的（可分离的）机制仍然很难实现。特别的，rIFG的作用还在激烈讨论中。一些研究强调rIFG在响应抑制中的作用（Aron等，2003; Chambers等，2007; Sakagami等，2001; Ver-bruggen等，2010; Xue等，2008），而其他研究报告了在没有响应抑制要求任务中的rIFG活动，表明它在监测或突出检测方面参与度更高（Chatham等人，2012; Fleming，Thomas，＆Dolan，2010; Hamp-shire，Chamberlain，Monti，Duncan ，＆Owen，2010; Munakata等，2011; Sharp等，2010; Verbruggen等，2010）。我们的模型结合了这两个看似相反的观点，无论任务规则是否需要停止机制，模型中rIFG检测显着事件并且通过下游过程参与停止机制。在停止信号和停止变化任务中，受试者必须检测到要求更新当前的行动计划的异常信号。我们认为这些信号是显着事件，并且通过调节去甲肾上腺素增强了rIFG中的处理过程，rIFG反过来通过激活STN（Swann等，2011）来暂停响应选择，从而引起定向或断路响应。该暂停使得基于意愿响应选择机制的DLPFC能够主导并且抑制特定响应（如在停止信号任务中）或启动新响应（如在停止更改任务中）。rIFG引发全局响应暂停的理论得到了rIFG参与奇点任务这一现象的支持（Huettel＆McCarthy，2004; Stevens，Skudlarski，Gatenby，＆Gore，2000），该任务不需要任何行为适应，但仍会导致响应减慢（Barcelo，Escera，Corral，＆Periáñez，2006; Parmentier，Elford，Escera，Andrés，＆San Miguel，2008）。实际上，许多上述报道研究显示：当rIFG在监测或显著性条件下被激活，尽管没有明显的抑制需求，但是受试者的RTs仍然被延迟（Chatham等，2012; Flem-ing et al。，2010; Sharp et al。，2010）。</w:t>
      </w:r>
    </w:p>
    <w:p>
      <w:pPr>
        <w:numPr>
          <w:ilvl w:val="0"/>
          <w:numId w:val="0"/>
        </w:numPr>
        <w:rPr>
          <w:rFonts w:hint="eastAsia"/>
          <w:b/>
          <w:bCs/>
          <w:lang w:val="en-US" w:eastAsia="zh-CN"/>
        </w:rPr>
      </w:pPr>
      <w:r>
        <w:rPr>
          <w:rFonts w:hint="eastAsia"/>
          <w:b/>
          <w:bCs/>
          <w:lang w:val="en-US" w:eastAsia="zh-CN"/>
        </w:rPr>
        <w:t>不同形式的响应抑制</w:t>
      </w:r>
    </w:p>
    <w:p>
      <w:pPr>
        <w:numPr>
          <w:ilvl w:val="0"/>
          <w:numId w:val="0"/>
        </w:numPr>
        <w:ind w:leftChars="0" w:firstLine="420" w:firstLineChars="200"/>
        <w:rPr>
          <w:rFonts w:hint="eastAsia"/>
          <w:lang w:val="en-US" w:eastAsia="zh-CN"/>
        </w:rPr>
      </w:pPr>
      <w:r>
        <w:rPr>
          <w:rFonts w:hint="eastAsia"/>
          <w:lang w:val="en-US" w:eastAsia="zh-CN"/>
        </w:rPr>
        <w:t>抑制性控制可以是全局性的，也可以是选择性的（Aron，2011; Aron＆Verbruggen，2008）。当意外事件（例如，停止信号）发生并需要快速响应调整时，大脑似乎转成全局抑制机制，并且当对应响应抑制准备好时，大脑似乎又转变到选择性抑制控制机制（Greenhouse，Oldenkamp，Aron，＆Diego， 2012; Hu＆Li，2011）。我们认为优先响应的选择性抑制被DLPFC启动，并通过间接皮质纹状体NoGo途径实施（Hu＆Li，2011; Jahfari等，2011; Watanabe＆Munoz，2009,2010; Zandbelt＆Vink，2010） 。另一方面，全局响应抑制由rIFG实施的显着性检测机制驱动，该机制通过直接投射到STN来抑制响应（Aron，Durston等，2007; Eagle等，2008; Isoda＆Hikosaka，2008 ; Jahfari等，2012,2011;Kühn等，2004; Mink，1996; Nambu等，2000; Nambu，Tokuno，＆Takada，2002）。</w:t>
      </w:r>
    </w:p>
    <w:p>
      <w:pPr>
        <w:numPr>
          <w:ilvl w:val="0"/>
          <w:numId w:val="0"/>
        </w:numPr>
        <w:ind w:leftChars="0" w:firstLine="420" w:firstLineChars="200"/>
        <w:rPr>
          <w:rFonts w:hint="eastAsia"/>
          <w:lang w:val="en-US" w:eastAsia="zh-CN"/>
        </w:rPr>
      </w:pPr>
      <w:r>
        <w:rPr>
          <w:rFonts w:hint="eastAsia"/>
          <w:lang w:val="en-US" w:eastAsia="zh-CN"/>
        </w:rPr>
        <w:t>除了抑制性控制的选择性区别之外，响应抑制的主动控制和响应起始区域之间也同样存在差异（Aron，2011; Cai，Oldenkamp，＆Aron，2011; Greenhouse等，2012; Swann等，2012）。我们的建模工作提出了多种主动控制的可能来源。通过增加前部运动区域和纹状体之间的功能性连接来在强调速度的情况下降低决策阈值，进而实现速度与精确度之间的调整（参见图5b和5c以及Forstmann等人，2010; Lo＆Wang，2006）。第二种促进机制通过增加rIFG的基础活性利用rIFG—STN之间超直接途径来进行显着性检测并减缓响应速度，从而增加响应通过门控难度（参见图13b）。有趣的是，虽然FEF与纹状体之间的功能性连接影响我们模拟SRIT的速度和准确性，但是停止信号任务中的SSRT不受这种调节的影响，并且只通过补充rIFG的活性增强来改善。这表明仅仅减慢响应的主动控制在降低SSRT方面是无效的（阶梯性程序能够适应较慢的总体响应），但增强的注意力监测对全局抑制控制具有显著影响。换句话说，尽管所有这些机制都可以导致决策阈值的调整，但只有那些积极参与停止过程的机制才会促进抑制控制本身。如果这个得到证实，这一结果可能会对上瘾，肥胖和强迫症等抑制控制障碍的治疗产生影响。然而，重要的是纹状体NoGo途径也被认为有助于防止对不良响应的主动选择适应。</w:t>
      </w:r>
    </w:p>
    <w:p>
      <w:pPr>
        <w:numPr>
          <w:ilvl w:val="0"/>
          <w:numId w:val="0"/>
        </w:numPr>
        <w:rPr>
          <w:rFonts w:hint="eastAsia"/>
          <w:lang w:val="en-US" w:eastAsia="zh-CN"/>
        </w:rPr>
      </w:pPr>
      <w:r>
        <w:rPr>
          <w:rFonts w:hint="eastAsia"/>
          <w:b/>
          <w:bCs/>
          <w:lang w:val="en-US" w:eastAsia="zh-CN"/>
        </w:rPr>
        <w:t>不同时间尺度下前额—基底神经节网络响应阈值调节的多种机制</w:t>
      </w:r>
    </w:p>
    <w:p>
      <w:pPr>
        <w:numPr>
          <w:ilvl w:val="0"/>
          <w:numId w:val="0"/>
        </w:numPr>
        <w:ind w:leftChars="0" w:firstLine="420" w:firstLineChars="200"/>
        <w:rPr>
          <w:rFonts w:hint="eastAsia"/>
          <w:lang w:val="en-US" w:eastAsia="zh-CN"/>
        </w:rPr>
      </w:pPr>
      <w:r>
        <w:rPr>
          <w:rFonts w:hint="eastAsia"/>
          <w:lang w:val="en-US" w:eastAsia="zh-CN"/>
        </w:rPr>
        <w:t>我们神经网络中的不同机制影响了在不同时间尺度下的启动运动响应的门控阈值，并由不同的认知变量调节。首先，调节皮质—纹状体的投射强度使得BG可以控制皮质运动计划容易地通过门控，从而在速度—精度权衡中提高速度（见图5c）。我们模型的这个方面与Lo和Wang（2006）的模型非常相似，该模型后来被Forstmann等人证实。（2010年）。我们的模型得出相同的结论，但我们拓展了这个观点，通过（i）激励状态（DA水平的变化，由强化水平调节并且也促进了纹状体Go信号）; （ii）响应的冲突和显着性（通过超直接路径使其变得更加困难或者利用Go信号驱动BG门控机制; Jahfari等，2011）显示出门控阈值也可以在更短的时间尺度上进行变化。此外，神经模型中的STN效果与估计决策阈值的增加正向相关（Ratcliff＆Frank，2012）。最近在基于强化的决策制定任务中描述了通过超直接路径对冲突诱导的决策阈值进行调整的信息（Cavanagh等，2011）。强冲突决策期间额叶EEG活动的增加与漂移扩散模型估计的决策阈值的增加有关。STN内直接的颅内记录也显示了在相同时间段内与决策冲突相关的活性，以及在前额电极上观察到频率范围（参见Zaghloul等人，2012）。此外，深部脑刺激引起的STN功能中断导致额叶EEG与决策阈值之间的关系逆转，同时不改变额叶活动本身。因此，这些数据支持前额与STN之间的交流作为冲突函数参与决策阈值调整的观点。类似地，停止信号任务中，在停止信号时，增加决策阈值的主动准备与超直接通路的活性相关（Jahfari等，2012）。</w:t>
      </w:r>
    </w:p>
    <w:p>
      <w:pPr>
        <w:numPr>
          <w:ilvl w:val="0"/>
          <w:numId w:val="0"/>
        </w:numPr>
        <w:ind w:leftChars="0" w:firstLine="420" w:firstLineChars="200"/>
        <w:rPr>
          <w:rFonts w:hint="eastAsia"/>
          <w:lang w:val="en-US" w:eastAsia="zh-CN"/>
        </w:rPr>
      </w:pPr>
      <w:r>
        <w:rPr>
          <w:rFonts w:hint="eastAsia"/>
          <w:lang w:val="en-US" w:eastAsia="zh-CN"/>
        </w:rPr>
        <w:t>在我们的神经模型中，由于FEF / ACC冲突的解决，GPe的反馈抑制和神经调节，与冲突相关的STN活性随时间消退（见图8）。因此，对这种瞬间STN增加的更精确的描述是它最初增加决策阈值（冲突时增加更多），随后是决策阈值随时间而动态降低。实际上，Ratcliff和Frank（2012）最近的多级计算建模和行为研究通过显示崩溃中的阈值扩散模型在冲突加强任务中为BG模型和人类参与者选择提供了良好的拟合，从而支持了这一想法。此外，拟合降低阈值的最佳时间曲线很好地对应于STN活性随时间降低的过程曲线。</w:t>
      </w:r>
    </w:p>
    <w:p>
      <w:pPr>
        <w:numPr>
          <w:ilvl w:val="0"/>
          <w:numId w:val="0"/>
        </w:numPr>
        <w:rPr>
          <w:rFonts w:hint="eastAsia"/>
          <w:b/>
          <w:bCs/>
          <w:lang w:val="en-US" w:eastAsia="zh-CN"/>
        </w:rPr>
      </w:pPr>
      <w:r>
        <w:rPr>
          <w:rFonts w:hint="eastAsia"/>
          <w:b/>
          <w:bCs/>
          <w:lang w:val="en-US" w:eastAsia="zh-CN"/>
        </w:rPr>
        <w:t>多巴胺和去甲肾上腺素的精神疾病及其不同的影响</w:t>
      </w:r>
    </w:p>
    <w:p>
      <w:pPr>
        <w:numPr>
          <w:ilvl w:val="0"/>
          <w:numId w:val="0"/>
        </w:numPr>
        <w:ind w:firstLine="420" w:firstLineChars="200"/>
        <w:rPr>
          <w:rFonts w:hint="eastAsia"/>
          <w:lang w:val="en-US" w:eastAsia="zh-CN"/>
        </w:rPr>
      </w:pPr>
      <w:r>
        <w:rPr>
          <w:rFonts w:hint="eastAsia"/>
          <w:lang w:val="en-US" w:eastAsia="zh-CN"/>
        </w:rPr>
        <w:t>异常的纹状体DA信号被假设为许多疾病的核心，包括PD（Bernheimer，Birkmayer，Horny-kiewicz，Jellinger，＆Seitelberger，1973），SZ（Breier等，1998）和ADHD（Casey，Nigg＆Durston，2007; Frank，Santamaria，O'Reilly，＆Willcutt，2007）。有趣的是，所有这些疾病都与停止信号任务中的响应抑制缺陷有关。我们早期的BG模型成功地解释了与加强学习和工作记忆任务中纹状体DA操作相关的各种研究结果（综述见Wiecki＆Frank，2010b）。然而，我们在这里发现纹状体DA操作虽然影响整体RT，但是通过SSRT评估发现对反应抑制缺陷的影响可忽略不计（参见图13b）。这一预测与最近的证据（Munakata等人，2011年综述）一致，证据表明左旋多巴（一种增加纹状体DA水平的药物（Harden＆Grace，1995）），对PD患者的SSRT没有影响（Obeso，Wilkinson，Casabona，et al。，2011; Obeso，Wilkinson，＆Jahanshahi，2011）。</w:t>
      </w:r>
    </w:p>
    <w:p>
      <w:pPr>
        <w:numPr>
          <w:ilvl w:val="0"/>
          <w:numId w:val="0"/>
        </w:numPr>
        <w:ind w:firstLine="420" w:firstLineChars="200"/>
        <w:rPr>
          <w:rFonts w:hint="eastAsia"/>
          <w:lang w:val="en-US" w:eastAsia="zh-CN"/>
        </w:rPr>
      </w:pPr>
      <w:r>
        <w:rPr>
          <w:rFonts w:hint="eastAsia"/>
          <w:highlight w:val="none"/>
          <w:lang w:val="en-US" w:eastAsia="zh-CN"/>
        </w:rPr>
        <w:t>这种缺乏DA的影响引起了关于</w:t>
      </w:r>
      <w:r>
        <w:rPr>
          <w:rFonts w:hint="eastAsia"/>
          <w:lang w:val="en-US" w:eastAsia="zh-CN"/>
        </w:rPr>
        <w:t>上述疾病中反应抑制缺陷来源的问题。ADHD（Faraone等，2005; Frank，Scheres，＆Sherman，2007; Ramos＆Arnsten，2007）和PD（Farley等，1978）中的证据显示：一个明显的可能来源是异常的NE功能。在我们的模拟中，NE的调整是通过其在rIFG中的增益调节作用进而影响SSRT（Aston-Jones＆Cohen，2005）。此外，使用选择性去甲肾上腺素再摄取抑制剂托莫西汀的药理学实验同样支持了这种解释，实验中托莫西汀提高了动物，健康成人和ADHD患者的响应抑制性能（Chamberlain等，2007,2009）。fMRI分析还显示了，托莫西汀通过调节rIFG起到其有益作用（Chamberlain等，2009），为模型机制提供了额外的支持。最后，这突出了在先前与DA功能障碍相关的PD患者中观察到的反应抑制缺陷的替代来源（参见Vazey和Aston-Jones，2012，对于PD患者认知缺陷中异常NE信号传导的重要性的综述）。</w:t>
      </w:r>
    </w:p>
    <w:p>
      <w:pPr>
        <w:jc w:val="center"/>
        <w:rPr>
          <w:rFonts w:hint="eastAsia"/>
          <w:b/>
          <w:bCs/>
          <w:sz w:val="30"/>
          <w:szCs w:val="30"/>
          <w:lang w:val="en-US" w:eastAsia="zh-CN"/>
        </w:rPr>
      </w:pPr>
      <w:r>
        <w:rPr>
          <w:rFonts w:hint="eastAsia"/>
          <w:b/>
          <w:bCs/>
          <w:sz w:val="30"/>
          <w:szCs w:val="30"/>
          <w:lang w:val="en-US" w:eastAsia="zh-CN"/>
        </w:rPr>
        <w:t>模型限制</w:t>
      </w:r>
    </w:p>
    <w:p>
      <w:pPr>
        <w:numPr>
          <w:ilvl w:val="0"/>
          <w:numId w:val="0"/>
        </w:numPr>
        <w:ind w:firstLine="420" w:firstLineChars="200"/>
        <w:rPr>
          <w:rFonts w:hint="eastAsia"/>
          <w:lang w:val="en-US" w:eastAsia="zh-CN"/>
        </w:rPr>
      </w:pPr>
      <w:r>
        <w:rPr>
          <w:rFonts w:hint="eastAsia"/>
          <w:lang w:val="en-US" w:eastAsia="zh-CN"/>
        </w:rPr>
        <w:t>尽管我们的模型成功地再现和解释了大量数据并为该领域的长期问题提供了潜在的解决方案，但是我们承认存在许多遗漏错误以及（尽管我们没有加入任何数据不支持的生物学特征）一些可能的模型错误。然而，我们注意到，我们的大多数假设和模拟在很大程度上是彼此独立的。因此，模型的每个方面本身都是可以验证真伪的，而不必在其他方面验证。我们在下面讨论一些明显的模型限制：它绝不是完美的。</w:t>
      </w:r>
    </w:p>
    <w:p>
      <w:pPr>
        <w:numPr>
          <w:ilvl w:val="0"/>
          <w:numId w:val="0"/>
        </w:numPr>
        <w:jc w:val="left"/>
        <w:rPr>
          <w:rFonts w:hint="eastAsia"/>
          <w:lang w:val="en-US" w:eastAsia="zh-CN"/>
        </w:rPr>
      </w:pPr>
      <w:r>
        <w:rPr>
          <w:rFonts w:hint="eastAsia"/>
          <w:b/>
          <w:bCs/>
          <w:lang w:val="en-US" w:eastAsia="zh-CN"/>
        </w:rPr>
        <w:t>PFC区域及其功能的特殊性</w:t>
      </w:r>
    </w:p>
    <w:p>
      <w:pPr>
        <w:numPr>
          <w:ilvl w:val="0"/>
          <w:numId w:val="0"/>
        </w:numPr>
        <w:ind w:firstLine="420" w:firstLineChars="200"/>
        <w:rPr>
          <w:rFonts w:hint="eastAsia"/>
          <w:lang w:val="en-US" w:eastAsia="zh-CN"/>
        </w:rPr>
      </w:pPr>
      <w:r>
        <w:rPr>
          <w:rFonts w:hint="eastAsia"/>
          <w:lang w:val="en-US" w:eastAsia="zh-CN"/>
        </w:rPr>
        <w:t>虽然我们的神经网络模型的BG部分是相当具体的，并且基于充分的解剖学电生理学和功能证据，但是包括DLPFC，SEF，pre-SMA，FEF和dACC在内的前额区域的个体贡献目前尚未完善。例如，我们在我们的模型中确定了一个由DLPFC，SEF和pre-SMA组成的执行控制网络。控制网络计算的任务规则和必要的动作命令由强行编码输入和扩展网络的输出权重模式（即，传感输入，指令层，FEF和纹状体）实现。这种实现可能会使生物系统必须解决的许多复杂计算系统短路：执行控制层必须（i）从短期或长期工作记忆中选择性地检索出适合当前试验的规则、（ii）整合传感输入信息以计算正确的反应（例如，通过矢量反转）、（iii）计算必要的运动序列以执行正确的动作、以及（iv）识别不正确的已激活的优先反应并选择性地抑制它们。虽然存在具有更详细的PFC表示的神经网络模型（例如，O'Reilly和Frank，2006），其中模型的规则表示可以通过实验训练发展，但是如何动态地实现必要的计算是至今尚未解决的问题。</w:t>
      </w:r>
    </w:p>
    <w:p>
      <w:pPr>
        <w:numPr>
          <w:ilvl w:val="0"/>
          <w:numId w:val="0"/>
        </w:numPr>
        <w:ind w:firstLine="420" w:firstLineChars="200"/>
        <w:rPr>
          <w:rFonts w:hint="eastAsia"/>
          <w:lang w:val="en-US" w:eastAsia="zh-CN"/>
        </w:rPr>
      </w:pPr>
      <w:r>
        <w:rPr>
          <w:rFonts w:hint="eastAsia"/>
          <w:lang w:val="en-US" w:eastAsia="zh-CN"/>
        </w:rPr>
        <w:t>重要的是，我们在这项工作中的重点是：当扩展Frank（2006）的BG模型并且需要抑制控制时，PFC和BG如何相互作用。我们还考虑了额叶皮层的一些电生理学数据，同时承认在这些区域及其相互作用上仍存在一些不确定性，随着更详细数据的出现，这些区域功能将会进行修正。</w:t>
      </w:r>
    </w:p>
    <w:p>
      <w:pPr>
        <w:numPr>
          <w:ilvl w:val="0"/>
          <w:numId w:val="0"/>
        </w:numPr>
        <w:rPr>
          <w:rFonts w:hint="eastAsia"/>
          <w:lang w:val="en-US" w:eastAsia="zh-CN"/>
        </w:rPr>
      </w:pPr>
      <w:r>
        <w:rPr>
          <w:rFonts w:hint="eastAsia"/>
          <w:b/>
          <w:bCs/>
          <w:lang w:val="en-US" w:eastAsia="zh-CN"/>
        </w:rPr>
        <w:t>学习</w:t>
      </w:r>
    </w:p>
    <w:p>
      <w:pPr>
        <w:numPr>
          <w:ilvl w:val="0"/>
          <w:numId w:val="0"/>
        </w:numPr>
        <w:ind w:firstLine="420" w:firstLineChars="200"/>
        <w:rPr>
          <w:rFonts w:hint="eastAsia"/>
          <w:lang w:val="en-US" w:eastAsia="zh-CN"/>
        </w:rPr>
      </w:pPr>
      <w:r>
        <w:rPr>
          <w:rFonts w:hint="eastAsia"/>
          <w:lang w:val="en-US" w:eastAsia="zh-CN"/>
        </w:rPr>
        <w:t>以前的BG模型探讨了DA在反馈驱动学习中的作用（Wiecki＆Frank，2010b）。由于人类（但不是猴子）能够在不学习的情况下执行此任务，我们选择对执行任务之前发生的学习过程保持不可知状态。因此，我们将任务规则强行编码到模型中。另一个这样做的原因是缺乏关于SRITS和SST中特定学习现象的发表报告。</w:t>
      </w:r>
    </w:p>
    <w:p>
      <w:pPr>
        <w:jc w:val="center"/>
        <w:rPr>
          <w:rFonts w:hint="eastAsia"/>
          <w:b/>
          <w:bCs/>
          <w:sz w:val="30"/>
          <w:szCs w:val="30"/>
          <w:lang w:val="en-US" w:eastAsia="zh-CN"/>
        </w:rPr>
      </w:pPr>
      <w:r>
        <w:rPr>
          <w:rFonts w:hint="eastAsia"/>
          <w:b/>
          <w:bCs/>
          <w:sz w:val="30"/>
          <w:szCs w:val="30"/>
          <w:lang w:val="en-US" w:eastAsia="zh-CN"/>
        </w:rPr>
        <w:t>结论</w:t>
      </w:r>
    </w:p>
    <w:p>
      <w:pPr>
        <w:numPr>
          <w:ilvl w:val="0"/>
          <w:numId w:val="0"/>
        </w:numPr>
        <w:ind w:firstLine="420" w:firstLineChars="200"/>
        <w:rPr>
          <w:rFonts w:hint="eastAsia"/>
          <w:lang w:val="en-US" w:eastAsia="zh-CN"/>
        </w:rPr>
      </w:pPr>
      <w:r>
        <w:rPr>
          <w:rFonts w:hint="eastAsia"/>
          <w:lang w:val="en-US" w:eastAsia="zh-CN"/>
        </w:rPr>
        <w:t>我们提出了一个全面的，生物学上合理的全局和选择性反应抑制模型，该模型考虑了神经元基础的已知特性，并试图将它们与认知科学，电生理学，成像研究和药理学实验的结果联系起来。在这里，我们展示了通过添加FEF，DLPFC和rIFG来扩充我们之前描述的BG模型，这使我们能够模拟对优先响应的控制，并在多个分析级别获得该领域的大量数据。我们还提供了多种机制，这些机制可能导致抑制性控制过程的中断，并且对于解释来自患有精神疾病（例如SZ和ADHD）的患者的数据具有重要意义。我们的模型显示，抑制控制范例中观察到的的缺陷不一定是因为反应抑制本身功能失调，也可能是由于其他因素（比如显着性冲突检测或者激励机制）并且可能与不同的神经机制有关。</w:t>
      </w:r>
    </w:p>
    <w:p>
      <w:pPr>
        <w:jc w:val="center"/>
        <w:rPr>
          <w:rFonts w:hint="eastAsia"/>
          <w:b/>
          <w:bCs/>
          <w:sz w:val="30"/>
          <w:szCs w:val="30"/>
          <w:lang w:val="en-US" w:eastAsia="zh-CN"/>
        </w:rPr>
      </w:pPr>
      <w:r>
        <w:rPr>
          <w:rFonts w:hint="eastAsia"/>
          <w:b/>
          <w:bCs/>
          <w:sz w:val="30"/>
          <w:szCs w:val="30"/>
          <w:lang w:val="en-US" w:eastAsia="zh-CN"/>
        </w:rPr>
        <w:t>参考文献</w:t>
      </w:r>
    </w:p>
    <w:p>
      <w:pPr>
        <w:spacing w:after="0" w:line="254" w:lineRule="auto"/>
        <w:ind w:left="160" w:hanging="159"/>
        <w:jc w:val="both"/>
        <w:rPr>
          <w:color w:val="auto"/>
          <w:sz w:val="20"/>
          <w:szCs w:val="20"/>
        </w:rPr>
      </w:pPr>
      <w:r>
        <w:rPr>
          <w:rFonts w:ascii="Times" w:hAnsi="Times" w:eastAsia="Times" w:cs="Times"/>
          <w:color w:val="auto"/>
          <w:sz w:val="16"/>
          <w:szCs w:val="16"/>
        </w:rPr>
        <w:t xml:space="preserve">Aisa, B., Mingus, B., &amp; O’Reilly, R. (2008). The emergent neural model-ing system. </w:t>
      </w:r>
      <w:r>
        <w:rPr>
          <w:rFonts w:ascii="Times" w:hAnsi="Times" w:eastAsia="Times" w:cs="Times"/>
          <w:i/>
          <w:iCs/>
          <w:color w:val="auto"/>
          <w:sz w:val="16"/>
          <w:szCs w:val="16"/>
        </w:rPr>
        <w:t>Neural Networks, 21,</w:t>
      </w:r>
      <w:r>
        <w:rPr>
          <w:rFonts w:ascii="Times" w:hAnsi="Times" w:eastAsia="Times" w:cs="Times"/>
          <w:color w:val="auto"/>
          <w:sz w:val="16"/>
          <w:szCs w:val="16"/>
        </w:rPr>
        <w:t xml:space="preserve"> 1146 –1152.</w:t>
      </w:r>
    </w:p>
    <w:p>
      <w:pPr>
        <w:spacing w:after="0" w:line="17" w:lineRule="exact"/>
        <w:rPr>
          <w:color w:val="auto"/>
          <w:sz w:val="20"/>
          <w:szCs w:val="20"/>
        </w:rPr>
      </w:pPr>
    </w:p>
    <w:p>
      <w:pPr>
        <w:spacing w:after="0" w:line="254" w:lineRule="auto"/>
        <w:ind w:left="160" w:hanging="159"/>
        <w:jc w:val="both"/>
        <w:rPr>
          <w:color w:val="auto"/>
          <w:sz w:val="20"/>
          <w:szCs w:val="20"/>
        </w:rPr>
      </w:pPr>
      <w:r>
        <w:rPr>
          <w:rFonts w:ascii="Times" w:hAnsi="Times" w:eastAsia="Times" w:cs="Times"/>
          <w:color w:val="auto"/>
          <w:sz w:val="16"/>
          <w:szCs w:val="16"/>
        </w:rPr>
        <w:t xml:space="preserve">Alexander, W. H., &amp; Brown, J. W. (2011). Medial prefrontal cortex as an action-outcome predictor. </w:t>
      </w:r>
      <w:r>
        <w:rPr>
          <w:rFonts w:ascii="Times" w:hAnsi="Times" w:eastAsia="Times" w:cs="Times"/>
          <w:i/>
          <w:iCs/>
          <w:color w:val="auto"/>
          <w:sz w:val="16"/>
          <w:szCs w:val="16"/>
        </w:rPr>
        <w:t>Nature Neuroscience, 14,</w:t>
      </w:r>
      <w:r>
        <w:rPr>
          <w:rFonts w:ascii="Times" w:hAnsi="Times" w:eastAsia="Times" w:cs="Times"/>
          <w:color w:val="auto"/>
          <w:sz w:val="16"/>
          <w:szCs w:val="16"/>
        </w:rPr>
        <w:t xml:space="preserve"> 1338 –1344.</w:t>
      </w:r>
    </w:p>
    <w:p>
      <w:pPr>
        <w:spacing w:after="0" w:line="17" w:lineRule="exact"/>
        <w:rPr>
          <w:color w:val="auto"/>
          <w:sz w:val="20"/>
          <w:szCs w:val="20"/>
        </w:rPr>
      </w:pPr>
    </w:p>
    <w:p>
      <w:pPr>
        <w:spacing w:after="0" w:line="254" w:lineRule="auto"/>
        <w:ind w:left="160" w:hanging="159"/>
        <w:jc w:val="both"/>
        <w:rPr>
          <w:color w:val="auto"/>
          <w:sz w:val="20"/>
          <w:szCs w:val="20"/>
        </w:rPr>
      </w:pPr>
      <w:r>
        <w:rPr>
          <w:rFonts w:ascii="Times" w:hAnsi="Times" w:eastAsia="Times" w:cs="Times"/>
          <w:color w:val="auto"/>
          <w:sz w:val="16"/>
          <w:szCs w:val="16"/>
        </w:rPr>
        <w:t xml:space="preserve">Andrés, P. (2003). Frontal cortex as the central executive of working memory: Time to revise our view. </w:t>
      </w:r>
      <w:r>
        <w:rPr>
          <w:rFonts w:ascii="Times" w:hAnsi="Times" w:eastAsia="Times" w:cs="Times"/>
          <w:i/>
          <w:iCs/>
          <w:color w:val="auto"/>
          <w:sz w:val="16"/>
          <w:szCs w:val="16"/>
        </w:rPr>
        <w:t>Cortex, 39,</w:t>
      </w:r>
      <w:r>
        <w:rPr>
          <w:rFonts w:ascii="Times" w:hAnsi="Times" w:eastAsia="Times" w:cs="Times"/>
          <w:color w:val="auto"/>
          <w:sz w:val="16"/>
          <w:szCs w:val="16"/>
        </w:rPr>
        <w:t xml:space="preserve"> 871– 896.</w:t>
      </w:r>
    </w:p>
    <w:p>
      <w:pPr>
        <w:spacing w:after="0" w:line="17" w:lineRule="exact"/>
        <w:rPr>
          <w:color w:val="auto"/>
          <w:sz w:val="20"/>
          <w:szCs w:val="20"/>
        </w:rPr>
      </w:pPr>
    </w:p>
    <w:p>
      <w:pPr>
        <w:spacing w:after="0" w:line="254" w:lineRule="auto"/>
        <w:ind w:left="160" w:hanging="159"/>
        <w:jc w:val="both"/>
        <w:rPr>
          <w:color w:val="auto"/>
          <w:sz w:val="20"/>
          <w:szCs w:val="20"/>
        </w:rPr>
      </w:pPr>
      <w:r>
        <w:rPr>
          <w:rFonts w:ascii="Times" w:hAnsi="Times" w:eastAsia="Times" w:cs="Times"/>
          <w:color w:val="auto"/>
          <w:sz w:val="16"/>
          <w:szCs w:val="16"/>
        </w:rPr>
        <w:t xml:space="preserve">Aron, A. R. (2007). The neural basis of inhibition in cognitive control. </w:t>
      </w:r>
      <w:r>
        <w:rPr>
          <w:rFonts w:ascii="Times" w:hAnsi="Times" w:eastAsia="Times" w:cs="Times"/>
          <w:i/>
          <w:iCs/>
          <w:color w:val="auto"/>
          <w:sz w:val="16"/>
          <w:szCs w:val="16"/>
        </w:rPr>
        <w:t>The</w:t>
      </w:r>
      <w:r>
        <w:rPr>
          <w:rFonts w:ascii="Times" w:hAnsi="Times" w:eastAsia="Times" w:cs="Times"/>
          <w:color w:val="auto"/>
          <w:sz w:val="16"/>
          <w:szCs w:val="16"/>
        </w:rPr>
        <w:t xml:space="preserve"> </w:t>
      </w:r>
      <w:r>
        <w:rPr>
          <w:rFonts w:ascii="Times" w:hAnsi="Times" w:eastAsia="Times" w:cs="Times"/>
          <w:i/>
          <w:iCs/>
          <w:color w:val="auto"/>
          <w:sz w:val="16"/>
          <w:szCs w:val="16"/>
        </w:rPr>
        <w:t xml:space="preserve">Neuroscientist, 13, </w:t>
      </w:r>
      <w:r>
        <w:rPr>
          <w:rFonts w:ascii="Times" w:hAnsi="Times" w:eastAsia="Times" w:cs="Times"/>
          <w:color w:val="auto"/>
          <w:sz w:val="16"/>
          <w:szCs w:val="16"/>
        </w:rPr>
        <w:t>214 –228.</w:t>
      </w:r>
    </w:p>
    <w:p>
      <w:pPr>
        <w:spacing w:after="0" w:line="17" w:lineRule="exact"/>
        <w:rPr>
          <w:color w:val="auto"/>
          <w:sz w:val="20"/>
          <w:szCs w:val="20"/>
        </w:rPr>
      </w:pPr>
    </w:p>
    <w:p>
      <w:pPr>
        <w:spacing w:after="0" w:line="259"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Aron, A. R. (2011). From reactive to proactive and selective control: Developing a richer model for stopping inappropriate responses. </w:t>
      </w:r>
      <w:r>
        <w:rPr>
          <w:rFonts w:ascii="Times" w:hAnsi="Times" w:eastAsia="Times" w:cs="Times"/>
          <w:i/>
          <w:iCs/>
          <w:color w:val="auto"/>
          <w:sz w:val="16"/>
          <w:szCs w:val="16"/>
        </w:rPr>
        <w:t>Bio-logical Psychiatry, 69</w:t>
      </w:r>
      <w:r>
        <w:rPr>
          <w:rFonts w:ascii="Times" w:hAnsi="Times" w:eastAsia="Times" w:cs="Times"/>
          <w:color w:val="auto"/>
          <w:sz w:val="16"/>
          <w:szCs w:val="16"/>
        </w:rPr>
        <w:t>(12), e55– e68.</w:t>
      </w:r>
      <w:r>
        <w:rPr>
          <w:rFonts w:ascii="Times" w:hAnsi="Times" w:eastAsia="Times" w:cs="Times"/>
          <w:i/>
          <w:iCs/>
          <w:color w:val="auto"/>
          <w:sz w:val="16"/>
          <w:szCs w:val="16"/>
        </w:rPr>
        <w:t xml:space="preserve"> </w:t>
      </w:r>
      <w:r>
        <w:fldChar w:fldCharType="begin"/>
      </w:r>
      <w:r>
        <w:instrText xml:space="preserve"> HYPERLINK "http://dx.doi.org/10.1016/j.biopsych.2010.07.024" \h </w:instrText>
      </w:r>
      <w:r>
        <w:fldChar w:fldCharType="separate"/>
      </w:r>
      <w:r>
        <w:rPr>
          <w:rFonts w:ascii="Times" w:hAnsi="Times" w:eastAsia="Times" w:cs="Times"/>
          <w:color w:val="00007C"/>
          <w:sz w:val="16"/>
          <w:szCs w:val="16"/>
        </w:rPr>
        <w:t>doi:10.1016/j.biopsych.2010.07</w:t>
      </w:r>
      <w:r>
        <w:rPr>
          <w:rFonts w:ascii="Times" w:hAnsi="Times" w:eastAsia="Times" w:cs="Times"/>
          <w:color w:val="00007C"/>
          <w:sz w:val="16"/>
          <w:szCs w:val="16"/>
        </w:rPr>
        <w:fldChar w:fldCharType="end"/>
      </w:r>
    </w:p>
    <w:p>
      <w:pPr>
        <w:spacing w:after="0" w:line="6"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"http://dx.doi.org/10.1016/j.biopsych.2010.07.024" \h </w:instrText>
      </w:r>
      <w:r>
        <w:fldChar w:fldCharType="separate"/>
      </w:r>
      <w:r>
        <w:rPr>
          <w:rFonts w:ascii="Times" w:hAnsi="Times" w:eastAsia="Times" w:cs="Times"/>
          <w:color w:val="00007C"/>
          <w:sz w:val="16"/>
          <w:szCs w:val="16"/>
        </w:rPr>
        <w:t>.024</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61" w:lineRule="auto"/>
        <w:ind w:left="160" w:hanging="159"/>
        <w:jc w:val="both"/>
        <w:rPr>
          <w:color w:val="auto"/>
          <w:sz w:val="20"/>
          <w:szCs w:val="20"/>
        </w:rPr>
      </w:pPr>
      <w:r>
        <w:rPr>
          <w:rFonts w:ascii="Times" w:hAnsi="Times" w:eastAsia="Times" w:cs="Times"/>
          <w:color w:val="auto"/>
          <w:sz w:val="16"/>
          <w:szCs w:val="16"/>
        </w:rPr>
        <w:t xml:space="preserve">Aron, A. R., Behrens, T. E., Smith, S., Frank, M. J., &amp; Poldrack, R. A. (2007). Triangulating a cognitive control network using diffusion-weighted magnetic resonance imaging (MRI) and functional MRI. </w:t>
      </w:r>
      <w:r>
        <w:rPr>
          <w:rFonts w:ascii="Times" w:hAnsi="Times" w:eastAsia="Times" w:cs="Times"/>
          <w:i/>
          <w:iCs/>
          <w:color w:val="auto"/>
          <w:sz w:val="16"/>
          <w:szCs w:val="16"/>
        </w:rPr>
        <w:t>The</w:t>
      </w:r>
      <w:r>
        <w:rPr>
          <w:rFonts w:ascii="Times" w:hAnsi="Times" w:eastAsia="Times" w:cs="Times"/>
          <w:color w:val="auto"/>
          <w:sz w:val="16"/>
          <w:szCs w:val="16"/>
        </w:rPr>
        <w:t xml:space="preserve"> </w:t>
      </w:r>
      <w:r>
        <w:rPr>
          <w:rFonts w:ascii="Times" w:hAnsi="Times" w:eastAsia="Times" w:cs="Times"/>
          <w:i/>
          <w:iCs/>
          <w:color w:val="auto"/>
          <w:sz w:val="16"/>
          <w:szCs w:val="16"/>
        </w:rPr>
        <w:t xml:space="preserve">Journal of Neuroscience, 27, </w:t>
      </w:r>
      <w:r>
        <w:rPr>
          <w:rFonts w:ascii="Times" w:hAnsi="Times" w:eastAsia="Times" w:cs="Times"/>
          <w:color w:val="auto"/>
          <w:sz w:val="16"/>
          <w:szCs w:val="16"/>
        </w:rPr>
        <w:t>3743–3752.</w:t>
      </w:r>
    </w:p>
    <w:p>
      <w:pPr>
        <w:spacing w:after="0" w:line="12" w:lineRule="exact"/>
        <w:rPr>
          <w:color w:val="auto"/>
          <w:sz w:val="20"/>
          <w:szCs w:val="20"/>
        </w:rPr>
      </w:pPr>
    </w:p>
    <w:p>
      <w:pPr>
        <w:spacing w:after="0" w:line="261"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Aron, A. R., Durston, S., Eagle, D. M., Logan, G. D., Stinear, C. M., &amp; Stuphorn, V. (2007). Converging evidence for a fronto-basal-ganglia network for inhibitory control of action and cognition. </w:t>
      </w:r>
      <w:r>
        <w:rPr>
          <w:rFonts w:ascii="Times" w:hAnsi="Times" w:eastAsia="Times" w:cs="Times"/>
          <w:i/>
          <w:iCs/>
          <w:color w:val="auto"/>
          <w:sz w:val="16"/>
          <w:szCs w:val="16"/>
        </w:rPr>
        <w:t>The Journal of</w:t>
      </w:r>
      <w:r>
        <w:rPr>
          <w:rFonts w:ascii="Times" w:hAnsi="Times" w:eastAsia="Times" w:cs="Times"/>
          <w:color w:val="auto"/>
          <w:sz w:val="16"/>
          <w:szCs w:val="16"/>
        </w:rPr>
        <w:t xml:space="preserve"> </w:t>
      </w:r>
      <w:r>
        <w:rPr>
          <w:rFonts w:ascii="Times" w:hAnsi="Times" w:eastAsia="Times" w:cs="Times"/>
          <w:i/>
          <w:iCs/>
          <w:color w:val="auto"/>
          <w:sz w:val="16"/>
          <w:szCs w:val="16"/>
        </w:rPr>
        <w:t xml:space="preserve">Neuroscience, 27, </w:t>
      </w:r>
      <w:r>
        <w:rPr>
          <w:rFonts w:ascii="Times" w:hAnsi="Times" w:eastAsia="Times" w:cs="Times"/>
          <w:color w:val="auto"/>
          <w:sz w:val="16"/>
          <w:szCs w:val="16"/>
        </w:rPr>
        <w:t>11860 –11864.</w:t>
      </w:r>
      <w:r>
        <w:rPr>
          <w:rFonts w:ascii="Times" w:hAnsi="Times" w:eastAsia="Times" w:cs="Times"/>
          <w:i/>
          <w:iCs/>
          <w:color w:val="auto"/>
          <w:sz w:val="16"/>
          <w:szCs w:val="16"/>
        </w:rPr>
        <w:t xml:space="preserve"> </w:t>
      </w:r>
      <w:r>
        <w:fldChar w:fldCharType="begin"/>
      </w:r>
      <w:r>
        <w:instrText xml:space="preserve"> HYPERLINK "http://dx.doi.org/10.1523/JNEUROSCI.3644-07.2007" \h </w:instrText>
      </w:r>
      <w:r>
        <w:fldChar w:fldCharType="separate"/>
      </w:r>
      <w:r>
        <w:rPr>
          <w:rFonts w:ascii="Times" w:hAnsi="Times" w:eastAsia="Times" w:cs="Times"/>
          <w:color w:val="00007C"/>
          <w:sz w:val="16"/>
          <w:szCs w:val="16"/>
        </w:rPr>
        <w:t>doi:10.1523/JNEUROSCI.3644-07</w:t>
      </w:r>
      <w:r>
        <w:rPr>
          <w:rFonts w:ascii="Times" w:hAnsi="Times" w:eastAsia="Times" w:cs="Times"/>
          <w:color w:val="00007C"/>
          <w:sz w:val="16"/>
          <w:szCs w:val="16"/>
        </w:rPr>
        <w:fldChar w:fldCharType="end"/>
      </w:r>
    </w:p>
    <w:p>
      <w:pPr>
        <w:spacing w:after="0" w:line="4"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"http://dx.doi.org/10.1523/JNEUROSCI.3644-07.2007" \h </w:instrText>
      </w:r>
      <w:r>
        <w:fldChar w:fldCharType="separate"/>
      </w:r>
      <w:r>
        <w:rPr>
          <w:rFonts w:ascii="Times" w:hAnsi="Times" w:eastAsia="Times" w:cs="Times"/>
          <w:color w:val="00007C"/>
          <w:sz w:val="16"/>
          <w:szCs w:val="16"/>
        </w:rPr>
        <w:t>.2007</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61"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Aron, A. R., Fletcher, P. C., Bullmore, E. T., Sahakian, B. J., &amp; Robbins, T. W. (2003). Stop-signal inhibition disrupted by damage to right inferior frontal gyrus in humans. </w:t>
      </w:r>
      <w:r>
        <w:rPr>
          <w:rFonts w:ascii="Times" w:hAnsi="Times" w:eastAsia="Times" w:cs="Times"/>
          <w:i/>
          <w:iCs/>
          <w:color w:val="auto"/>
          <w:sz w:val="16"/>
          <w:szCs w:val="16"/>
        </w:rPr>
        <w:t>Nature Neuroscience, 6,</w:t>
      </w:r>
      <w:r>
        <w:rPr>
          <w:rFonts w:ascii="Times" w:hAnsi="Times" w:eastAsia="Times" w:cs="Times"/>
          <w:color w:val="auto"/>
          <w:sz w:val="16"/>
          <w:szCs w:val="16"/>
        </w:rPr>
        <w:t xml:space="preserve"> 115–116. </w:t>
      </w:r>
      <w:r>
        <w:fldChar w:fldCharType="begin"/>
      </w:r>
      <w:r>
        <w:instrText xml:space="preserve"> HYPERLINK "http://dx.doi.org/10.1038/nn1003" \h </w:instrText>
      </w:r>
      <w:r>
        <w:fldChar w:fldCharType="separate"/>
      </w:r>
      <w:r>
        <w:rPr>
          <w:rFonts w:ascii="Times" w:hAnsi="Times" w:eastAsia="Times" w:cs="Times"/>
          <w:color w:val="00007C"/>
          <w:sz w:val="16"/>
          <w:szCs w:val="16"/>
        </w:rPr>
        <w:t>doi:10.1038/nn1003</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61" w:lineRule="auto"/>
        <w:ind w:left="160" w:hanging="159"/>
        <w:jc w:val="both"/>
        <w:rPr>
          <w:color w:val="auto"/>
          <w:sz w:val="20"/>
          <w:szCs w:val="20"/>
        </w:rPr>
      </w:pPr>
      <w:r>
        <w:rPr>
          <w:rFonts w:ascii="Times" w:hAnsi="Times" w:eastAsia="Times" w:cs="Times"/>
          <w:color w:val="auto"/>
          <w:sz w:val="16"/>
          <w:szCs w:val="16"/>
        </w:rPr>
        <w:t xml:space="preserve">Aron, A. R., Monsell, S., Sahakian, B. J., &amp; Robbins, T. W. (2004). A componential analysis of task-switching deficits associated with lesions of left and right frontal cortex. </w:t>
      </w:r>
      <w:r>
        <w:rPr>
          <w:rFonts w:ascii="Times" w:hAnsi="Times" w:eastAsia="Times" w:cs="Times"/>
          <w:i/>
          <w:iCs/>
          <w:color w:val="auto"/>
          <w:sz w:val="16"/>
          <w:szCs w:val="16"/>
        </w:rPr>
        <w:t>Brain: A Journal of Neurology, 127,</w:t>
      </w:r>
      <w:r>
        <w:rPr>
          <w:rFonts w:ascii="Times" w:hAnsi="Times" w:eastAsia="Times" w:cs="Times"/>
          <w:color w:val="auto"/>
          <w:sz w:val="16"/>
          <w:szCs w:val="16"/>
        </w:rPr>
        <w:t xml:space="preserve"> 1561–1573.</w:t>
      </w:r>
    </w:p>
    <w:p>
      <w:pPr>
        <w:spacing w:after="0" w:line="12" w:lineRule="exact"/>
        <w:rPr>
          <w:color w:val="auto"/>
          <w:sz w:val="20"/>
          <w:szCs w:val="20"/>
        </w:rPr>
      </w:pPr>
    </w:p>
    <w:p>
      <w:pPr>
        <w:spacing w:after="0" w:line="259" w:lineRule="auto"/>
        <w:ind w:left="160" w:hanging="159"/>
        <w:jc w:val="both"/>
        <w:rPr>
          <w:color w:val="auto"/>
          <w:sz w:val="20"/>
          <w:szCs w:val="20"/>
        </w:rPr>
      </w:pPr>
      <w:r>
        <w:rPr>
          <w:rFonts w:ascii="Times" w:hAnsi="Times" w:eastAsia="Times" w:cs="Times"/>
          <w:color w:val="auto"/>
          <w:sz w:val="16"/>
          <w:szCs w:val="16"/>
        </w:rPr>
        <w:t xml:space="preserve">Aron, A. R., &amp; Poldrack, R. A. (2006). Cortical and subcortical contribu-tions to stop signal response inhibition: Role of the subthalamic nucleus. </w:t>
      </w:r>
      <w:r>
        <w:rPr>
          <w:rFonts w:ascii="Times" w:hAnsi="Times" w:eastAsia="Times" w:cs="Times"/>
          <w:i/>
          <w:iCs/>
          <w:color w:val="auto"/>
          <w:sz w:val="16"/>
          <w:szCs w:val="16"/>
        </w:rPr>
        <w:t xml:space="preserve">The Journal of Neuroscience, 26, </w:t>
      </w:r>
      <w:r>
        <w:rPr>
          <w:rFonts w:ascii="Times" w:hAnsi="Times" w:eastAsia="Times" w:cs="Times"/>
          <w:color w:val="auto"/>
          <w:sz w:val="16"/>
          <w:szCs w:val="16"/>
        </w:rPr>
        <w:t>2424 –2433.</w:t>
      </w:r>
    </w:p>
    <w:p>
      <w:pPr>
        <w:spacing w:after="0" w:line="14" w:lineRule="exact"/>
        <w:rPr>
          <w:color w:val="auto"/>
          <w:sz w:val="20"/>
          <w:szCs w:val="20"/>
        </w:rPr>
      </w:pPr>
    </w:p>
    <w:p>
      <w:pPr>
        <w:spacing w:after="0" w:line="259" w:lineRule="auto"/>
        <w:ind w:left="160" w:hanging="159"/>
        <w:jc w:val="both"/>
        <w:rPr>
          <w:color w:val="auto"/>
          <w:sz w:val="20"/>
          <w:szCs w:val="20"/>
        </w:rPr>
      </w:pPr>
      <w:r>
        <w:rPr>
          <w:rFonts w:ascii="Times" w:hAnsi="Times" w:eastAsia="Times" w:cs="Times"/>
          <w:color w:val="auto"/>
          <w:sz w:val="16"/>
          <w:szCs w:val="16"/>
        </w:rPr>
        <w:t xml:space="preserve">Aron, A. R., &amp; Verbruggen, F. (2008). Stop the presses: Dissociating a selective from a global mechanism for stopping. </w:t>
      </w:r>
      <w:r>
        <w:rPr>
          <w:rFonts w:ascii="Times" w:hAnsi="Times" w:eastAsia="Times" w:cs="Times"/>
          <w:i/>
          <w:iCs/>
          <w:color w:val="auto"/>
          <w:sz w:val="16"/>
          <w:szCs w:val="16"/>
        </w:rPr>
        <w:t>Psychological Science,</w:t>
      </w:r>
      <w:r>
        <w:rPr>
          <w:rFonts w:ascii="Times" w:hAnsi="Times" w:eastAsia="Times" w:cs="Times"/>
          <w:color w:val="auto"/>
          <w:sz w:val="16"/>
          <w:szCs w:val="16"/>
        </w:rPr>
        <w:t xml:space="preserve"> </w:t>
      </w:r>
      <w:r>
        <w:rPr>
          <w:rFonts w:ascii="Times" w:hAnsi="Times" w:eastAsia="Times" w:cs="Times"/>
          <w:i/>
          <w:iCs/>
          <w:color w:val="auto"/>
          <w:sz w:val="16"/>
          <w:szCs w:val="16"/>
        </w:rPr>
        <w:t xml:space="preserve">19, </w:t>
      </w:r>
      <w:r>
        <w:rPr>
          <w:rFonts w:ascii="Times" w:hAnsi="Times" w:eastAsia="Times" w:cs="Times"/>
          <w:color w:val="auto"/>
          <w:sz w:val="16"/>
          <w:szCs w:val="16"/>
        </w:rPr>
        <w:t>1146 –1153.</w:t>
      </w:r>
    </w:p>
    <w:p>
      <w:pPr>
        <w:spacing w:after="0" w:line="14" w:lineRule="exact"/>
        <w:rPr>
          <w:color w:val="auto"/>
          <w:sz w:val="20"/>
          <w:szCs w:val="20"/>
        </w:rPr>
      </w:pPr>
    </w:p>
    <w:p>
      <w:pPr>
        <w:spacing w:after="0" w:line="261"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Aston-Jones, G., &amp; Cohen, J. D. (2005). An integrative theory of locus coeruleus-norepinephrine function: Adaptive gain and optimal perfor-mance. </w:t>
      </w:r>
      <w:r>
        <w:rPr>
          <w:rFonts w:ascii="Times" w:hAnsi="Times" w:eastAsia="Times" w:cs="Times"/>
          <w:i/>
          <w:iCs/>
          <w:color w:val="auto"/>
          <w:sz w:val="16"/>
          <w:szCs w:val="16"/>
        </w:rPr>
        <w:t>Annual Review of Neuroscience, 28,</w:t>
      </w:r>
      <w:r>
        <w:rPr>
          <w:rFonts w:ascii="Times" w:hAnsi="Times" w:eastAsia="Times" w:cs="Times"/>
          <w:color w:val="auto"/>
          <w:sz w:val="16"/>
          <w:szCs w:val="16"/>
        </w:rPr>
        <w:t xml:space="preserve"> 403– 450. </w:t>
      </w:r>
      <w:r>
        <w:fldChar w:fldCharType="begin"/>
      </w:r>
      <w:r>
        <w:instrText xml:space="preserve"> HYPERLINK "http://dx.doi.org/10.1146/annurev.neuro.28.061604.135709" \h </w:instrText>
      </w:r>
      <w:r>
        <w:fldChar w:fldCharType="separate"/>
      </w:r>
      <w:r>
        <w:rPr>
          <w:rFonts w:ascii="Times" w:hAnsi="Times" w:eastAsia="Times" w:cs="Times"/>
          <w:color w:val="00007C"/>
          <w:sz w:val="16"/>
          <w:szCs w:val="16"/>
        </w:rPr>
        <w:t>doi:10.1146/</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"http://dx.doi.org/10.1146/annurev.neuro.28.061604.135709" \h </w:instrText>
      </w:r>
      <w:r>
        <w:fldChar w:fldCharType="separate"/>
      </w:r>
      <w:r>
        <w:rPr>
          <w:rFonts w:ascii="Times" w:hAnsi="Times" w:eastAsia="Times" w:cs="Times"/>
          <w:color w:val="00007C"/>
          <w:sz w:val="16"/>
          <w:szCs w:val="16"/>
        </w:rPr>
        <w:t>annurev.neuro.28.061604.135709</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61"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Badcock, J. C., Michie, P. T., Johnson, L., &amp; Combrinck, J. (2002). Acts of control in schizophrenia: Dissociating the components of inhibition. </w:t>
      </w:r>
      <w:r>
        <w:rPr>
          <w:rFonts w:ascii="Times" w:hAnsi="Times" w:eastAsia="Times" w:cs="Times"/>
          <w:i/>
          <w:iCs/>
          <w:color w:val="auto"/>
          <w:sz w:val="16"/>
          <w:szCs w:val="16"/>
        </w:rPr>
        <w:t xml:space="preserve">Psychological Medicine, 32, </w:t>
      </w:r>
      <w:r>
        <w:rPr>
          <w:rFonts w:ascii="Times" w:hAnsi="Times" w:eastAsia="Times" w:cs="Times"/>
          <w:color w:val="auto"/>
          <w:sz w:val="16"/>
          <w:szCs w:val="16"/>
        </w:rPr>
        <w:t>287–297.</w:t>
      </w:r>
      <w:r>
        <w:rPr>
          <w:rFonts w:ascii="Times" w:hAnsi="Times" w:eastAsia="Times" w:cs="Times"/>
          <w:i/>
          <w:iCs/>
          <w:color w:val="auto"/>
          <w:sz w:val="16"/>
          <w:szCs w:val="16"/>
        </w:rPr>
        <w:t xml:space="preserve"> </w:t>
      </w:r>
      <w:r>
        <w:fldChar w:fldCharType="begin"/>
      </w:r>
      <w:r>
        <w:instrText xml:space="preserve"> HYPERLINK "http://dx.doi.org/10.1017/S0033291701005128" \h </w:instrText>
      </w:r>
      <w:r>
        <w:fldChar w:fldCharType="separate"/>
      </w:r>
      <w:r>
        <w:rPr>
          <w:rFonts w:ascii="Times" w:hAnsi="Times" w:eastAsia="Times" w:cs="Times"/>
          <w:color w:val="00007C"/>
          <w:sz w:val="16"/>
          <w:szCs w:val="16"/>
        </w:rPr>
        <w:t>doi:10.1017/S003329</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fldChar w:fldCharType="begin"/>
      </w:r>
      <w:r>
        <w:instrText xml:space="preserve"> HYPERLINK "http://dx.doi.org/10.1017/S0033291701005128" \h </w:instrText>
      </w:r>
      <w:r>
        <w:fldChar w:fldCharType="separate"/>
      </w:r>
      <w:r>
        <w:rPr>
          <w:rFonts w:ascii="Times" w:hAnsi="Times" w:eastAsia="Times" w:cs="Times"/>
          <w:color w:val="00007C"/>
          <w:sz w:val="16"/>
          <w:szCs w:val="16"/>
        </w:rPr>
        <w:t>1701005128</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59" w:lineRule="auto"/>
        <w:ind w:left="160" w:hanging="159"/>
        <w:jc w:val="both"/>
        <w:rPr>
          <w:color w:val="auto"/>
          <w:sz w:val="20"/>
          <w:szCs w:val="20"/>
        </w:rPr>
      </w:pPr>
      <w:r>
        <w:rPr>
          <w:rFonts w:ascii="Times" w:hAnsi="Times" w:eastAsia="Times" w:cs="Times"/>
          <w:color w:val="auto"/>
          <w:sz w:val="16"/>
          <w:szCs w:val="16"/>
        </w:rPr>
        <w:t xml:space="preserve">Barcelo, F., Escera, C., Corral, M. J., &amp; Periáñez, J. A. (2006). Task switching and novelty processing activate a common neural network for cognitive control. </w:t>
      </w:r>
      <w:r>
        <w:rPr>
          <w:rFonts w:ascii="Times" w:hAnsi="Times" w:eastAsia="Times" w:cs="Times"/>
          <w:i/>
          <w:iCs/>
          <w:color w:val="auto"/>
          <w:sz w:val="16"/>
          <w:szCs w:val="16"/>
        </w:rPr>
        <w:t>Journal of Cognitive Neuroscience, 18,</w:t>
      </w:r>
      <w:r>
        <w:rPr>
          <w:rFonts w:ascii="Times" w:hAnsi="Times" w:eastAsia="Times" w:cs="Times"/>
          <w:color w:val="auto"/>
          <w:sz w:val="16"/>
          <w:szCs w:val="16"/>
        </w:rPr>
        <w:t xml:space="preserve"> 1734 –1748.</w:t>
      </w:r>
    </w:p>
    <w:p>
      <w:pPr>
        <w:spacing w:after="0" w:line="20" w:lineRule="exact"/>
        <w:rPr>
          <w:color w:val="auto"/>
          <w:sz w:val="20"/>
          <w:szCs w:val="20"/>
        </w:rPr>
      </w:pPr>
      <w:bookmarkStart w:id="0" w:name="_GoBack"/>
      <w:bookmarkEnd w:id="0"/>
    </w:p>
    <w:p>
      <w:pPr>
        <w:spacing w:after="0"/>
        <w:rPr>
          <w:color w:val="auto"/>
          <w:sz w:val="20"/>
          <w:szCs w:val="20"/>
        </w:rPr>
      </w:pPr>
      <w:r>
        <w:rPr>
          <w:rFonts w:ascii="Times" w:hAnsi="Times" w:eastAsia="Times" w:cs="Times"/>
          <w:color w:val="auto"/>
          <w:sz w:val="16"/>
          <w:szCs w:val="16"/>
        </w:rPr>
        <w:t>Bellgrove, M. A., Chambers, C. D., Vance, A., Hall, N., Karamitsios, M.,</w:t>
      </w:r>
    </w:p>
    <w:p>
      <w:pPr>
        <w:spacing w:after="0" w:line="30" w:lineRule="exact"/>
        <w:rPr>
          <w:color w:val="auto"/>
          <w:sz w:val="20"/>
          <w:szCs w:val="20"/>
        </w:rPr>
      </w:pPr>
    </w:p>
    <w:p>
      <w:pPr>
        <w:numPr>
          <w:ilvl w:val="0"/>
          <w:numId w:val="3"/>
        </w:numPr>
        <w:tabs>
          <w:tab w:val="left" w:pos="341"/>
        </w:tabs>
        <w:spacing w:after="0" w:line="263" w:lineRule="auto"/>
        <w:ind w:left="160"/>
        <w:jc w:val="both"/>
        <w:rPr>
          <w:rFonts w:ascii="Times" w:hAnsi="Times" w:eastAsia="Times" w:cs="Times"/>
          <w:color w:val="00007C"/>
          <w:sz w:val="16"/>
          <w:szCs w:val="16"/>
        </w:rPr>
      </w:pPr>
      <w:r>
        <w:rPr>
          <w:rFonts w:ascii="Times" w:hAnsi="Times" w:eastAsia="Times" w:cs="Times"/>
          <w:color w:val="auto"/>
          <w:sz w:val="16"/>
          <w:szCs w:val="16"/>
        </w:rPr>
        <w:t xml:space="preserve">Bradshaw, J. L. (2006). Lateralized deficit of response inhibition in early-onset schizophrenia. </w:t>
      </w:r>
      <w:r>
        <w:rPr>
          <w:rFonts w:ascii="Times" w:hAnsi="Times" w:eastAsia="Times" w:cs="Times"/>
          <w:i/>
          <w:iCs/>
          <w:color w:val="auto"/>
          <w:sz w:val="16"/>
          <w:szCs w:val="16"/>
        </w:rPr>
        <w:t>Psychological Medicine, 36,</w:t>
      </w:r>
      <w:r>
        <w:rPr>
          <w:rFonts w:ascii="Times" w:hAnsi="Times" w:eastAsia="Times" w:cs="Times"/>
          <w:color w:val="auto"/>
          <w:sz w:val="16"/>
          <w:szCs w:val="16"/>
        </w:rPr>
        <w:t xml:space="preserve"> 495–505. </w:t>
      </w:r>
      <w:r>
        <w:fldChar w:fldCharType="begin"/>
      </w:r>
      <w:r>
        <w:instrText xml:space="preserve"> HYPERLINK "http://dx.doi.org/10.1017/S0033291705006409"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"http://dx.doi.org/10.1017/S0033291705006409" \h </w:instrText>
      </w:r>
      <w:r>
        <w:fldChar w:fldCharType="separate"/>
      </w:r>
      <w:r>
        <w:rPr>
          <w:rFonts w:ascii="Times" w:hAnsi="Times" w:eastAsia="Times" w:cs="Times"/>
          <w:color w:val="00007C"/>
          <w:sz w:val="16"/>
          <w:szCs w:val="16"/>
        </w:rPr>
        <w:t>10.1017/S0033291705006409</w:t>
      </w:r>
      <w:r>
        <w:rPr>
          <w:rFonts w:ascii="Times" w:hAnsi="Times" w:eastAsia="Times" w:cs="Times"/>
          <w:color w:val="00007C"/>
          <w:sz w:val="16"/>
          <w:szCs w:val="16"/>
        </w:rPr>
        <w:fldChar w:fldCharType="end"/>
      </w:r>
    </w:p>
    <w:p>
      <w:pPr>
        <w:spacing w:after="0" w:line="14" w:lineRule="exact"/>
        <w:rPr>
          <w:rFonts w:ascii="Times" w:hAnsi="Times" w:eastAsia="Times" w:cs="Times"/>
          <w:color w:val="auto"/>
          <w:sz w:val="16"/>
          <w:szCs w:val="16"/>
        </w:rPr>
      </w:pPr>
    </w:p>
    <w:p>
      <w:pPr>
        <w:spacing w:after="0" w:line="266"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Bernheimer, H., Birkmayer, W., Hornykiewicz, O., Jellinger, K., &amp; Seit-elberger, F. (1973). Brain dopamine and the syndromes of Parkinson and Huntington clinical, morphological and neurochemical correlations. </w:t>
      </w:r>
      <w:r>
        <w:rPr>
          <w:rFonts w:ascii="Times" w:hAnsi="Times" w:eastAsia="Times" w:cs="Times"/>
          <w:i/>
          <w:iCs/>
          <w:color w:val="auto"/>
          <w:sz w:val="16"/>
          <w:szCs w:val="16"/>
        </w:rPr>
        <w:t xml:space="preserve">Journal of the Neurological Sciences, 20, </w:t>
      </w:r>
      <w:r>
        <w:rPr>
          <w:rFonts w:ascii="Times" w:hAnsi="Times" w:eastAsia="Times" w:cs="Times"/>
          <w:color w:val="auto"/>
          <w:sz w:val="16"/>
          <w:szCs w:val="16"/>
        </w:rPr>
        <w:t>415– 455.</w:t>
      </w:r>
      <w:r>
        <w:rPr>
          <w:rFonts w:ascii="Times" w:hAnsi="Times" w:eastAsia="Times" w:cs="Times"/>
          <w:i/>
          <w:iCs/>
          <w:color w:val="auto"/>
          <w:sz w:val="16"/>
          <w:szCs w:val="16"/>
        </w:rPr>
        <w:t xml:space="preserve"> </w:t>
      </w:r>
      <w:r>
        <w:fldChar w:fldCharType="begin"/>
      </w:r>
      <w:r>
        <w:instrText xml:space="preserve"> HYPERLINK "http://dx.doi.org/10.1016/0022-510X%2873%2990175-5" \h </w:instrText>
      </w:r>
      <w:r>
        <w:fldChar w:fldCharType="separate"/>
      </w:r>
      <w:r>
        <w:rPr>
          <w:rFonts w:ascii="Times" w:hAnsi="Times" w:eastAsia="Times" w:cs="Times"/>
          <w:color w:val="00007C"/>
          <w:sz w:val="16"/>
          <w:szCs w:val="16"/>
        </w:rPr>
        <w:t>doi:10.1016/0022-</w:t>
      </w:r>
      <w:r>
        <w:rPr>
          <w:rFonts w:ascii="Times" w:hAnsi="Times" w:eastAsia="Times" w:cs="Times"/>
          <w:color w:val="00007C"/>
          <w:sz w:val="16"/>
          <w:szCs w:val="16"/>
        </w:rPr>
        <w:fldChar w:fldCharType="end"/>
      </w:r>
      <w:r>
        <w:fldChar w:fldCharType="begin"/>
      </w:r>
      <w:r>
        <w:instrText xml:space="preserve"> HYPERLINK "http://dx.doi.org/10.1016/0022-510X%2873%2990175-5" \h </w:instrText>
      </w:r>
      <w:r>
        <w:fldChar w:fldCharType="separate"/>
      </w:r>
      <w:r>
        <w:rPr>
          <w:rFonts w:ascii="Times" w:hAnsi="Times" w:eastAsia="Times" w:cs="Times"/>
          <w:color w:val="00007C"/>
          <w:sz w:val="16"/>
          <w:szCs w:val="16"/>
        </w:rPr>
        <w:t>510X(73)90175-5</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Botvinick, M. M., Braver, T. S., Barch, D. M., Carter, C. S., &amp; Cohen, J. D. (2001). Conflict monitoring and cognitive control. </w:t>
      </w:r>
      <w:r>
        <w:rPr>
          <w:rFonts w:ascii="Times" w:hAnsi="Times" w:eastAsia="Times" w:cs="Times"/>
          <w:i/>
          <w:iCs/>
          <w:color w:val="auto"/>
          <w:sz w:val="16"/>
          <w:szCs w:val="16"/>
        </w:rPr>
        <w:t xml:space="preserve">Psychological Re-view, 108, </w:t>
      </w:r>
      <w:r>
        <w:rPr>
          <w:rFonts w:ascii="Times" w:hAnsi="Times" w:eastAsia="Times" w:cs="Times"/>
          <w:color w:val="auto"/>
          <w:sz w:val="16"/>
          <w:szCs w:val="16"/>
        </w:rPr>
        <w:t>624 – 652.</w:t>
      </w:r>
      <w:r>
        <w:rPr>
          <w:rFonts w:ascii="Times" w:hAnsi="Times" w:eastAsia="Times" w:cs="Times"/>
          <w:i/>
          <w:iCs/>
          <w:color w:val="auto"/>
          <w:sz w:val="16"/>
          <w:szCs w:val="16"/>
        </w:rPr>
        <w:t xml:space="preserve"> </w:t>
      </w:r>
      <w:r>
        <w:fldChar w:fldCharType="begin"/>
      </w:r>
      <w:r>
        <w:instrText xml:space="preserve"> HYPERLINK "http://dx.doi.org/10.1037/0033-295X.108.3.624" \h </w:instrText>
      </w:r>
      <w:r>
        <w:fldChar w:fldCharType="separate"/>
      </w:r>
      <w:r>
        <w:rPr>
          <w:rFonts w:ascii="Times" w:hAnsi="Times" w:eastAsia="Times" w:cs="Times"/>
          <w:color w:val="00007C"/>
          <w:sz w:val="16"/>
          <w:szCs w:val="16"/>
        </w:rPr>
        <w:t>doi:10.1037/0033-295X.108.3.624</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Botvinick, M. M., Cohen, J. D., &amp; Carter, C. S. (2004). Conflict monitoring and anterior cingulate cortex: An update. </w:t>
      </w:r>
      <w:r>
        <w:rPr>
          <w:rFonts w:ascii="Times" w:hAnsi="Times" w:eastAsia="Times" w:cs="Times"/>
          <w:i/>
          <w:iCs/>
          <w:color w:val="auto"/>
          <w:sz w:val="16"/>
          <w:szCs w:val="16"/>
        </w:rPr>
        <w:t>Trends in Cognitive Sciences,</w:t>
      </w:r>
      <w:r>
        <w:rPr>
          <w:rFonts w:ascii="Times" w:hAnsi="Times" w:eastAsia="Times" w:cs="Times"/>
          <w:color w:val="auto"/>
          <w:sz w:val="16"/>
          <w:szCs w:val="16"/>
        </w:rPr>
        <w:t xml:space="preserve"> </w:t>
      </w:r>
      <w:r>
        <w:rPr>
          <w:rFonts w:ascii="Times" w:hAnsi="Times" w:eastAsia="Times" w:cs="Times"/>
          <w:i/>
          <w:iCs/>
          <w:color w:val="auto"/>
          <w:sz w:val="16"/>
          <w:szCs w:val="16"/>
        </w:rPr>
        <w:t xml:space="preserve">8, </w:t>
      </w:r>
      <w:r>
        <w:rPr>
          <w:rFonts w:ascii="Times" w:hAnsi="Times" w:eastAsia="Times" w:cs="Times"/>
          <w:color w:val="auto"/>
          <w:sz w:val="16"/>
          <w:szCs w:val="16"/>
        </w:rPr>
        <w:t>539 –546.</w:t>
      </w:r>
      <w:r>
        <w:rPr>
          <w:rFonts w:ascii="Times" w:hAnsi="Times" w:eastAsia="Times" w:cs="Times"/>
          <w:i/>
          <w:iCs/>
          <w:color w:val="auto"/>
          <w:sz w:val="16"/>
          <w:szCs w:val="16"/>
        </w:rPr>
        <w:t xml:space="preserve"> </w:t>
      </w:r>
      <w:r>
        <w:fldChar w:fldCharType="begin"/>
      </w:r>
      <w:r>
        <w:instrText xml:space="preserve"> HYPERLINK "http://dx.doi.org/10.1016/j.tics.2004.10.003" \h </w:instrText>
      </w:r>
      <w:r>
        <w:fldChar w:fldCharType="separate"/>
      </w:r>
      <w:r>
        <w:rPr>
          <w:rFonts w:ascii="Times" w:hAnsi="Times" w:eastAsia="Times" w:cs="Times"/>
          <w:color w:val="00007C"/>
          <w:sz w:val="16"/>
          <w:szCs w:val="16"/>
        </w:rPr>
        <w:t>doi:10.1016/j.tics.2004.10.003</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Brass, M., Derrfuss, J., Forstmann, B., &amp; von Cramon, D. Y. (2005). The role of the inferior frontal junction area in cognitive control. </w:t>
      </w:r>
      <w:r>
        <w:rPr>
          <w:rFonts w:ascii="Times" w:hAnsi="Times" w:eastAsia="Times" w:cs="Times"/>
          <w:i/>
          <w:iCs/>
          <w:color w:val="auto"/>
          <w:sz w:val="16"/>
          <w:szCs w:val="16"/>
        </w:rPr>
        <w:t>Trends in</w:t>
      </w:r>
      <w:r>
        <w:rPr>
          <w:rFonts w:ascii="Times" w:hAnsi="Times" w:eastAsia="Times" w:cs="Times"/>
          <w:color w:val="auto"/>
          <w:sz w:val="16"/>
          <w:szCs w:val="16"/>
        </w:rPr>
        <w:t xml:space="preserve"> </w:t>
      </w:r>
      <w:r>
        <w:rPr>
          <w:rFonts w:ascii="Times" w:hAnsi="Times" w:eastAsia="Times" w:cs="Times"/>
          <w:i/>
          <w:iCs/>
          <w:color w:val="auto"/>
          <w:sz w:val="16"/>
          <w:szCs w:val="16"/>
        </w:rPr>
        <w:t xml:space="preserve">Cognitive Sciences, 9, </w:t>
      </w:r>
      <w:r>
        <w:rPr>
          <w:rFonts w:ascii="Times" w:hAnsi="Times" w:eastAsia="Times" w:cs="Times"/>
          <w:color w:val="auto"/>
          <w:sz w:val="16"/>
          <w:szCs w:val="16"/>
        </w:rPr>
        <w:t>314 –316.</w:t>
      </w:r>
      <w:r>
        <w:rPr>
          <w:rFonts w:ascii="Times" w:hAnsi="Times" w:eastAsia="Times" w:cs="Times"/>
          <w:i/>
          <w:iCs/>
          <w:color w:val="auto"/>
          <w:sz w:val="16"/>
          <w:szCs w:val="16"/>
        </w:rPr>
        <w:t xml:space="preserve"> </w:t>
      </w:r>
      <w:r>
        <w:fldChar w:fldCharType="begin"/>
      </w:r>
      <w:r>
        <w:instrText xml:space="preserve"> HYPERLINK "http://dx.doi.org/10.1016/j.tics.2005.05.001" \h </w:instrText>
      </w:r>
      <w:r>
        <w:fldChar w:fldCharType="separate"/>
      </w:r>
      <w:r>
        <w:rPr>
          <w:rFonts w:ascii="Times" w:hAnsi="Times" w:eastAsia="Times" w:cs="Times"/>
          <w:color w:val="00007C"/>
          <w:sz w:val="16"/>
          <w:szCs w:val="16"/>
        </w:rPr>
        <w:t>doi:10.1016/j.tics.2005.05.001</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3" w:lineRule="auto"/>
        <w:ind w:left="160" w:hanging="159"/>
        <w:jc w:val="both"/>
        <w:rPr>
          <w:color w:val="auto"/>
          <w:sz w:val="20"/>
          <w:szCs w:val="20"/>
        </w:rPr>
      </w:pPr>
      <w:r>
        <w:rPr>
          <w:rFonts w:ascii="Times" w:hAnsi="Times" w:eastAsia="Times" w:cs="Times"/>
          <w:color w:val="auto"/>
          <w:sz w:val="16"/>
          <w:szCs w:val="16"/>
        </w:rPr>
        <w:t xml:space="preserve">Braver, T. S., Barch, D. M., Gray, J. R., Molfese, D. L., &amp; Snyder, A. (2001). Anterior cingulate cortex and response conflict: Effects of fre-quency, inhibition and errors. </w:t>
      </w:r>
      <w:r>
        <w:rPr>
          <w:rFonts w:ascii="Times" w:hAnsi="Times" w:eastAsia="Times" w:cs="Times"/>
          <w:i/>
          <w:iCs/>
          <w:color w:val="auto"/>
          <w:sz w:val="16"/>
          <w:szCs w:val="16"/>
        </w:rPr>
        <w:t>Cerebral Cortex, 11,</w:t>
      </w:r>
      <w:r>
        <w:rPr>
          <w:rFonts w:ascii="Times" w:hAnsi="Times" w:eastAsia="Times" w:cs="Times"/>
          <w:color w:val="auto"/>
          <w:sz w:val="16"/>
          <w:szCs w:val="16"/>
        </w:rPr>
        <w:t xml:space="preserve"> 825– 836.</w:t>
      </w:r>
    </w:p>
    <w:p>
      <w:pPr>
        <w:spacing w:after="0" w:line="5" w:lineRule="exact"/>
        <w:rPr>
          <w:color w:val="auto"/>
          <w:sz w:val="20"/>
          <w:szCs w:val="20"/>
        </w:rPr>
      </w:pPr>
    </w:p>
    <w:p>
      <w:pPr>
        <w:spacing w:after="0"/>
        <w:rPr>
          <w:color w:val="auto"/>
          <w:sz w:val="20"/>
          <w:szCs w:val="20"/>
        </w:rPr>
      </w:pPr>
      <w:r>
        <w:rPr>
          <w:rFonts w:ascii="Times" w:hAnsi="Times" w:eastAsia="Times" w:cs="Times"/>
          <w:color w:val="auto"/>
          <w:sz w:val="16"/>
          <w:szCs w:val="16"/>
        </w:rPr>
        <w:t>Breier, A., Kestler, L., Adler, C., Elman, I., Wiesenfeld, N., Malhotra, A.,</w:t>
      </w:r>
    </w:p>
    <w:p>
      <w:pPr>
        <w:spacing w:after="0" w:line="30" w:lineRule="exact"/>
        <w:rPr>
          <w:color w:val="auto"/>
          <w:sz w:val="20"/>
          <w:szCs w:val="20"/>
        </w:rPr>
      </w:pPr>
    </w:p>
    <w:p>
      <w:pPr>
        <w:numPr>
          <w:ilvl w:val="0"/>
          <w:numId w:val="4"/>
        </w:numPr>
        <w:tabs>
          <w:tab w:val="left" w:pos="350"/>
        </w:tabs>
        <w:spacing w:after="0" w:line="263" w:lineRule="auto"/>
        <w:ind w:left="160"/>
        <w:jc w:val="both"/>
        <w:rPr>
          <w:rFonts w:ascii="Times" w:hAnsi="Times" w:eastAsia="Times" w:cs="Times"/>
          <w:color w:val="auto"/>
          <w:sz w:val="16"/>
          <w:szCs w:val="16"/>
        </w:rPr>
      </w:pPr>
      <w:r>
        <w:rPr>
          <w:rFonts w:ascii="Times" w:hAnsi="Times" w:eastAsia="Times" w:cs="Times"/>
          <w:color w:val="auto"/>
          <w:sz w:val="16"/>
          <w:szCs w:val="16"/>
        </w:rPr>
        <w:t xml:space="preserve">Pickar, D. (1998). Dopamine d2 receptor density and personal de-tachment in healthy subjects. </w:t>
      </w:r>
      <w:r>
        <w:rPr>
          <w:rFonts w:ascii="Times" w:hAnsi="Times" w:eastAsia="Times" w:cs="Times"/>
          <w:i/>
          <w:iCs/>
          <w:color w:val="auto"/>
          <w:sz w:val="16"/>
          <w:szCs w:val="16"/>
        </w:rPr>
        <w:t>The American Journal of Psychiatry, 155,</w:t>
      </w:r>
      <w:r>
        <w:rPr>
          <w:rFonts w:ascii="Times" w:hAnsi="Times" w:eastAsia="Times" w:cs="Times"/>
          <w:color w:val="auto"/>
          <w:sz w:val="16"/>
          <w:szCs w:val="16"/>
        </w:rPr>
        <w:t xml:space="preserve"> 1440 –1442.</w:t>
      </w:r>
    </w:p>
    <w:p>
      <w:pPr>
        <w:spacing w:after="0" w:line="13" w:lineRule="exact"/>
        <w:rPr>
          <w:color w:val="auto"/>
          <w:sz w:val="20"/>
          <w:szCs w:val="20"/>
        </w:rPr>
      </w:pPr>
    </w:p>
    <w:p>
      <w:pPr>
        <w:spacing w:after="0" w:line="263"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Brown, J. W., Bullock, D., &amp; Grossberg, S. (2004). How laminar frontal cortex and basal ganglia circuits interact to control planned and reactive saccades. </w:t>
      </w:r>
      <w:r>
        <w:rPr>
          <w:rFonts w:ascii="Times" w:hAnsi="Times" w:eastAsia="Times" w:cs="Times"/>
          <w:i/>
          <w:iCs/>
          <w:color w:val="auto"/>
          <w:sz w:val="16"/>
          <w:szCs w:val="16"/>
        </w:rPr>
        <w:t>Neural Networks, 17,</w:t>
      </w:r>
      <w:r>
        <w:rPr>
          <w:rFonts w:ascii="Times" w:hAnsi="Times" w:eastAsia="Times" w:cs="Times"/>
          <w:color w:val="auto"/>
          <w:sz w:val="16"/>
          <w:szCs w:val="16"/>
        </w:rPr>
        <w:t xml:space="preserve"> 471–510. </w:t>
      </w:r>
      <w:r>
        <w:fldChar w:fldCharType="begin"/>
      </w:r>
      <w:r>
        <w:instrText xml:space="preserve"> HYPERLINK "http://dx.doi.org/10.1016/j.neunet.2003.08.006" \h </w:instrText>
      </w:r>
      <w:r>
        <w:fldChar w:fldCharType="separate"/>
      </w:r>
      <w:r>
        <w:rPr>
          <w:rFonts w:ascii="Times" w:hAnsi="Times" w:eastAsia="Times" w:cs="Times"/>
          <w:color w:val="00007C"/>
          <w:sz w:val="16"/>
          <w:szCs w:val="16"/>
        </w:rPr>
        <w:t>doi:10.1016/j.neunet.2003.08</w:t>
      </w:r>
      <w:r>
        <w:rPr>
          <w:rFonts w:ascii="Times" w:hAnsi="Times" w:eastAsia="Times" w:cs="Times"/>
          <w:color w:val="00007C"/>
          <w:sz w:val="16"/>
          <w:szCs w:val="16"/>
        </w:rPr>
        <w:fldChar w:fldCharType="end"/>
      </w:r>
    </w:p>
    <w:p>
      <w:pPr>
        <w:spacing w:after="0" w:line="5"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"http://dx.doi.org/10.1016/j.neunet.2003.08.006" \h </w:instrText>
      </w:r>
      <w:r>
        <w:fldChar w:fldCharType="separate"/>
      </w:r>
      <w:r>
        <w:rPr>
          <w:rFonts w:ascii="Times" w:hAnsi="Times" w:eastAsia="Times" w:cs="Times"/>
          <w:color w:val="00007C"/>
          <w:sz w:val="16"/>
          <w:szCs w:val="16"/>
        </w:rPr>
        <w:t>.006</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257" w:lineRule="auto"/>
        <w:ind w:left="160" w:hanging="159"/>
        <w:jc w:val="both"/>
        <w:rPr>
          <w:color w:val="auto"/>
          <w:sz w:val="20"/>
          <w:szCs w:val="20"/>
        </w:rPr>
      </w:pPr>
      <w:r>
        <w:rPr>
          <w:rFonts w:ascii="Times" w:hAnsi="Times" w:eastAsia="Times" w:cs="Times"/>
          <w:color w:val="auto"/>
          <w:sz w:val="16"/>
          <w:szCs w:val="16"/>
        </w:rPr>
        <w:t xml:space="preserve">Bunge, S. A., &amp; Wallis, J. D. (Eds.). (2008). </w:t>
      </w:r>
      <w:r>
        <w:rPr>
          <w:rFonts w:ascii="Times" w:hAnsi="Times" w:eastAsia="Times" w:cs="Times"/>
          <w:i/>
          <w:iCs/>
          <w:color w:val="auto"/>
          <w:sz w:val="16"/>
          <w:szCs w:val="16"/>
        </w:rPr>
        <w:t>Neuroscience of rule-guided</w:t>
      </w:r>
      <w:r>
        <w:rPr>
          <w:rFonts w:ascii="Times" w:hAnsi="Times" w:eastAsia="Times" w:cs="Times"/>
          <w:color w:val="auto"/>
          <w:sz w:val="16"/>
          <w:szCs w:val="16"/>
        </w:rPr>
        <w:t xml:space="preserve"> </w:t>
      </w:r>
      <w:r>
        <w:rPr>
          <w:rFonts w:ascii="Times" w:hAnsi="Times" w:eastAsia="Times" w:cs="Times"/>
          <w:i/>
          <w:iCs/>
          <w:color w:val="auto"/>
          <w:sz w:val="16"/>
          <w:szCs w:val="16"/>
        </w:rPr>
        <w:t>behavior</w:t>
      </w:r>
      <w:r>
        <w:rPr>
          <w:rFonts w:ascii="Times" w:hAnsi="Times" w:eastAsia="Times" w:cs="Times"/>
          <w:color w:val="auto"/>
          <w:sz w:val="16"/>
          <w:szCs w:val="16"/>
        </w:rPr>
        <w:t>. Oxford, England: Oxford University Press.</w:t>
      </w:r>
    </w:p>
    <w:p>
      <w:pPr>
        <w:spacing w:after="0" w:line="18"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Burle, B., Possamaï, C.-A., Vidal, F., Bonnet, M., &amp; Hasbroucq, T. (2002). Executive control in the Simon effect: An electromyographic and dis-tributional analysis. </w:t>
      </w:r>
      <w:r>
        <w:rPr>
          <w:rFonts w:ascii="Times" w:hAnsi="Times" w:eastAsia="Times" w:cs="Times"/>
          <w:i/>
          <w:iCs/>
          <w:color w:val="auto"/>
          <w:sz w:val="16"/>
          <w:szCs w:val="16"/>
        </w:rPr>
        <w:t>Psychological Research/Psychologische Forschung,</w:t>
      </w:r>
      <w:r>
        <w:rPr>
          <w:rFonts w:ascii="Times" w:hAnsi="Times" w:eastAsia="Times" w:cs="Times"/>
          <w:color w:val="auto"/>
          <w:sz w:val="16"/>
          <w:szCs w:val="16"/>
        </w:rPr>
        <w:t xml:space="preserve"> </w:t>
      </w:r>
      <w:r>
        <w:rPr>
          <w:rFonts w:ascii="Times" w:hAnsi="Times" w:eastAsia="Times" w:cs="Times"/>
          <w:i/>
          <w:iCs/>
          <w:color w:val="auto"/>
          <w:sz w:val="16"/>
          <w:szCs w:val="16"/>
        </w:rPr>
        <w:t xml:space="preserve">66, </w:t>
      </w:r>
      <w:r>
        <w:rPr>
          <w:rFonts w:ascii="Times" w:hAnsi="Times" w:eastAsia="Times" w:cs="Times"/>
          <w:color w:val="auto"/>
          <w:sz w:val="16"/>
          <w:szCs w:val="16"/>
        </w:rPr>
        <w:t>324 –336.</w:t>
      </w:r>
      <w:r>
        <w:rPr>
          <w:rFonts w:ascii="Times" w:hAnsi="Times" w:eastAsia="Times" w:cs="Times"/>
          <w:i/>
          <w:iCs/>
          <w:color w:val="auto"/>
          <w:sz w:val="16"/>
          <w:szCs w:val="16"/>
        </w:rPr>
        <w:t xml:space="preserve"> </w:t>
      </w:r>
      <w:r>
        <w:fldChar w:fldCharType="begin"/>
      </w:r>
      <w:r>
        <w:instrText xml:space="preserve"> HYPERLINK "http://dx.doi.org/10.1007/s00426-002-0105-6" \h </w:instrText>
      </w:r>
      <w:r>
        <w:fldChar w:fldCharType="separate"/>
      </w:r>
      <w:r>
        <w:rPr>
          <w:rFonts w:ascii="Times" w:hAnsi="Times" w:eastAsia="Times" w:cs="Times"/>
          <w:color w:val="00007C"/>
          <w:sz w:val="16"/>
          <w:szCs w:val="16"/>
        </w:rPr>
        <w:t>doi:10.1007/s00426-002-0105-6</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3" w:lineRule="auto"/>
        <w:ind w:left="160" w:hanging="159"/>
        <w:jc w:val="both"/>
        <w:rPr>
          <w:color w:val="auto"/>
          <w:sz w:val="20"/>
          <w:szCs w:val="20"/>
        </w:rPr>
      </w:pPr>
      <w:r>
        <w:rPr>
          <w:rFonts w:ascii="Times" w:hAnsi="Times" w:eastAsia="Times" w:cs="Times"/>
          <w:color w:val="auto"/>
          <w:sz w:val="16"/>
          <w:szCs w:val="16"/>
        </w:rPr>
        <w:t xml:space="preserve">Cai, W., Oldenkamp, C. L., &amp; Aron, A. R. (2011). A proactive mechanism for selective suppression of response tendencies. </w:t>
      </w:r>
      <w:r>
        <w:rPr>
          <w:rFonts w:ascii="Times" w:hAnsi="Times" w:eastAsia="Times" w:cs="Times"/>
          <w:i/>
          <w:iCs/>
          <w:color w:val="auto"/>
          <w:sz w:val="16"/>
          <w:szCs w:val="16"/>
        </w:rPr>
        <w:t xml:space="preserve">The Journal of Neuro-science, 31, </w:t>
      </w:r>
      <w:r>
        <w:rPr>
          <w:rFonts w:ascii="Times" w:hAnsi="Times" w:eastAsia="Times" w:cs="Times"/>
          <w:color w:val="auto"/>
          <w:sz w:val="16"/>
          <w:szCs w:val="16"/>
        </w:rPr>
        <w:t>5965–5969.</w:t>
      </w:r>
    </w:p>
    <w:p>
      <w:pPr>
        <w:spacing w:after="0" w:line="13"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Casey, B. J., Nigg, J. T., &amp; Durston, S. (2007). New potential leads in the biology and treatment of attention deficit-hyperactivity disorder. </w:t>
      </w:r>
      <w:r>
        <w:rPr>
          <w:rFonts w:ascii="Times" w:hAnsi="Times" w:eastAsia="Times" w:cs="Times"/>
          <w:i/>
          <w:iCs/>
          <w:color w:val="auto"/>
          <w:sz w:val="16"/>
          <w:szCs w:val="16"/>
        </w:rPr>
        <w:t xml:space="preserve">Cur-rent Opinion in Neurology, 20, </w:t>
      </w:r>
      <w:r>
        <w:rPr>
          <w:rFonts w:ascii="Times" w:hAnsi="Times" w:eastAsia="Times" w:cs="Times"/>
          <w:color w:val="auto"/>
          <w:sz w:val="16"/>
          <w:szCs w:val="16"/>
        </w:rPr>
        <w:t>119 –124.</w:t>
      </w:r>
      <w:r>
        <w:rPr>
          <w:rFonts w:ascii="Times" w:hAnsi="Times" w:eastAsia="Times" w:cs="Times"/>
          <w:i/>
          <w:iCs/>
          <w:color w:val="auto"/>
          <w:sz w:val="16"/>
          <w:szCs w:val="16"/>
        </w:rPr>
        <w:t xml:space="preserve"> </w:t>
      </w:r>
      <w:r>
        <w:fldChar w:fldCharType="begin"/>
      </w:r>
      <w:r>
        <w:instrText xml:space="preserve"> HYPERLINK "http://dx.doi.org/10.1097/WCO.0b013e3280a02f78" \h </w:instrText>
      </w:r>
      <w:r>
        <w:fldChar w:fldCharType="separate"/>
      </w:r>
      <w:r>
        <w:rPr>
          <w:rFonts w:ascii="Times" w:hAnsi="Times" w:eastAsia="Times" w:cs="Times"/>
          <w:color w:val="00007C"/>
          <w:sz w:val="16"/>
          <w:szCs w:val="16"/>
        </w:rPr>
        <w:t>doi:10.1097/WCO</w:t>
      </w:r>
      <w:r>
        <w:rPr>
          <w:rFonts w:ascii="Times" w:hAnsi="Times" w:eastAsia="Times" w:cs="Times"/>
          <w:color w:val="00007C"/>
          <w:sz w:val="16"/>
          <w:szCs w:val="16"/>
        </w:rPr>
        <w:fldChar w:fldCharType="end"/>
      </w:r>
    </w:p>
    <w:p>
      <w:pPr>
        <w:spacing w:after="0" w:line="5"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"http://dx.doi.org/10.1097/WCO.0b013e3280a02f78" \h </w:instrText>
      </w:r>
      <w:r>
        <w:fldChar w:fldCharType="separate"/>
      </w:r>
      <w:r>
        <w:rPr>
          <w:rFonts w:ascii="Times" w:hAnsi="Times" w:eastAsia="Times" w:cs="Times"/>
          <w:color w:val="00007C"/>
          <w:sz w:val="16"/>
          <w:szCs w:val="16"/>
        </w:rPr>
        <w:t>.0b013e3280a02f78</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Cavanagh, J. F., Wiecki, T. V., Cohen, M. X., Figueroa, C. M., Samanta, J., Sherman, S. J., &amp; Frank, M. J. (2011). Subthalamic nucleus stimu-lation reverses mediofrontal influence over decision threshold. </w:t>
      </w:r>
      <w:r>
        <w:rPr>
          <w:rFonts w:ascii="Times" w:hAnsi="Times" w:eastAsia="Times" w:cs="Times"/>
          <w:i/>
          <w:iCs/>
          <w:color w:val="auto"/>
          <w:sz w:val="16"/>
          <w:szCs w:val="16"/>
        </w:rPr>
        <w:t>Nature</w:t>
      </w:r>
      <w:r>
        <w:rPr>
          <w:rFonts w:ascii="Times" w:hAnsi="Times" w:eastAsia="Times" w:cs="Times"/>
          <w:color w:val="auto"/>
          <w:sz w:val="16"/>
          <w:szCs w:val="16"/>
        </w:rPr>
        <w:t xml:space="preserve"> </w:t>
      </w:r>
      <w:r>
        <w:rPr>
          <w:rFonts w:ascii="Times" w:hAnsi="Times" w:eastAsia="Times" w:cs="Times"/>
          <w:i/>
          <w:iCs/>
          <w:color w:val="auto"/>
          <w:sz w:val="16"/>
          <w:szCs w:val="16"/>
        </w:rPr>
        <w:t xml:space="preserve">Neuroscience, 14, </w:t>
      </w:r>
      <w:r>
        <w:rPr>
          <w:rFonts w:ascii="Times" w:hAnsi="Times" w:eastAsia="Times" w:cs="Times"/>
          <w:color w:val="auto"/>
          <w:sz w:val="16"/>
          <w:szCs w:val="16"/>
        </w:rPr>
        <w:t>1462–1467.</w:t>
      </w:r>
      <w:r>
        <w:rPr>
          <w:rFonts w:ascii="Times" w:hAnsi="Times" w:eastAsia="Times" w:cs="Times"/>
          <w:i/>
          <w:iCs/>
          <w:color w:val="auto"/>
          <w:sz w:val="16"/>
          <w:szCs w:val="16"/>
        </w:rPr>
        <w:t xml:space="preserve"> </w:t>
      </w:r>
      <w:r>
        <w:fldChar w:fldCharType="begin"/>
      </w:r>
      <w:r>
        <w:instrText xml:space="preserve"> HYPERLINK "http://dx.doi.org/10.1038/nn.2925" \h </w:instrText>
      </w:r>
      <w:r>
        <w:fldChar w:fldCharType="separate"/>
      </w:r>
      <w:r>
        <w:rPr>
          <w:rFonts w:ascii="Times" w:hAnsi="Times" w:eastAsia="Times" w:cs="Times"/>
          <w:color w:val="00007C"/>
          <w:sz w:val="16"/>
          <w:szCs w:val="16"/>
        </w:rPr>
        <w:t>doi:10.1038/nn.2925</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Chamberlain, S. R., Del Campo, N., Dowson, J., Müller, U., Clark, L., Robbins, T. W., &amp; Sahakian, B. J. (2007). Atomoxetine improved response inhibition in adults with attention deficit/hyperactivity disor-der. </w:t>
      </w:r>
      <w:r>
        <w:rPr>
          <w:rFonts w:ascii="Times" w:hAnsi="Times" w:eastAsia="Times" w:cs="Times"/>
          <w:i/>
          <w:iCs/>
          <w:color w:val="auto"/>
          <w:sz w:val="16"/>
          <w:szCs w:val="16"/>
        </w:rPr>
        <w:t>Biological Psychiatry, 62,</w:t>
      </w:r>
      <w:r>
        <w:rPr>
          <w:rFonts w:ascii="Times" w:hAnsi="Times" w:eastAsia="Times" w:cs="Times"/>
          <w:color w:val="auto"/>
          <w:sz w:val="16"/>
          <w:szCs w:val="16"/>
        </w:rPr>
        <w:t xml:space="preserve"> 977–984. </w:t>
      </w:r>
      <w:r>
        <w:fldChar w:fldCharType="begin"/>
      </w:r>
      <w:r>
        <w:instrText xml:space="preserve"> HYPERLINK "http://dx.doi.org/10.1016/j.biopsych.2007.03.003" \h </w:instrText>
      </w:r>
      <w:r>
        <w:fldChar w:fldCharType="separate"/>
      </w:r>
      <w:r>
        <w:rPr>
          <w:rFonts w:ascii="Times" w:hAnsi="Times" w:eastAsia="Times" w:cs="Times"/>
          <w:color w:val="00007C"/>
          <w:sz w:val="16"/>
          <w:szCs w:val="16"/>
        </w:rPr>
        <w:t>doi:10.1016/j.biopsych.2007</w:t>
      </w:r>
      <w:r>
        <w:rPr>
          <w:rFonts w:ascii="Times" w:hAnsi="Times" w:eastAsia="Times" w:cs="Times"/>
          <w:color w:val="00007C"/>
          <w:sz w:val="16"/>
          <w:szCs w:val="16"/>
        </w:rPr>
        <w:fldChar w:fldCharType="end"/>
      </w:r>
    </w:p>
    <w:p>
      <w:pPr>
        <w:spacing w:after="0" w:line="3"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"http://dx.doi.org/10.1016/j.biopsych.2007.03.003" \h </w:instrText>
      </w:r>
      <w:r>
        <w:fldChar w:fldCharType="separate"/>
      </w:r>
      <w:r>
        <w:rPr>
          <w:rFonts w:ascii="Times" w:hAnsi="Times" w:eastAsia="Times" w:cs="Times"/>
          <w:color w:val="00007C"/>
          <w:sz w:val="16"/>
          <w:szCs w:val="16"/>
        </w:rPr>
        <w:t>.03.003</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Chamberlain, S. R., Fineberg, N. A., Blackwell, A. D., Robbins, T. W., &amp; Sahakian, B. J. (2006). Motor inhibition and cognitive flexibility in obsessive-compulsive disorder and trichotillomania. </w:t>
      </w:r>
      <w:r>
        <w:rPr>
          <w:rFonts w:ascii="Times" w:hAnsi="Times" w:eastAsia="Times" w:cs="Times"/>
          <w:i/>
          <w:iCs/>
          <w:color w:val="auto"/>
          <w:sz w:val="16"/>
          <w:szCs w:val="16"/>
        </w:rPr>
        <w:t>The American</w:t>
      </w:r>
      <w:r>
        <w:rPr>
          <w:rFonts w:ascii="Times" w:hAnsi="Times" w:eastAsia="Times" w:cs="Times"/>
          <w:color w:val="auto"/>
          <w:sz w:val="16"/>
          <w:szCs w:val="16"/>
        </w:rPr>
        <w:t xml:space="preserve"> </w:t>
      </w:r>
      <w:r>
        <w:rPr>
          <w:rFonts w:ascii="Times" w:hAnsi="Times" w:eastAsia="Times" w:cs="Times"/>
          <w:i/>
          <w:iCs/>
          <w:color w:val="auto"/>
          <w:sz w:val="16"/>
          <w:szCs w:val="16"/>
        </w:rPr>
        <w:t xml:space="preserve">Journal of Psychiatry, 163, </w:t>
      </w:r>
      <w:r>
        <w:rPr>
          <w:rFonts w:ascii="Times" w:hAnsi="Times" w:eastAsia="Times" w:cs="Times"/>
          <w:color w:val="auto"/>
          <w:sz w:val="16"/>
          <w:szCs w:val="16"/>
        </w:rPr>
        <w:t>1282–1284.</w:t>
      </w:r>
      <w:r>
        <w:rPr>
          <w:rFonts w:ascii="Times" w:hAnsi="Times" w:eastAsia="Times" w:cs="Times"/>
          <w:i/>
          <w:iCs/>
          <w:color w:val="auto"/>
          <w:sz w:val="16"/>
          <w:szCs w:val="16"/>
        </w:rPr>
        <w:t xml:space="preserve"> </w:t>
      </w:r>
      <w:r>
        <w:fldChar w:fldCharType="begin"/>
      </w:r>
      <w:r>
        <w:instrText xml:space="preserve"> HYPERLINK "http://dx.doi.org/10.1176/appi.ajp.163.7.1282" \h </w:instrText>
      </w:r>
      <w:r>
        <w:fldChar w:fldCharType="separate"/>
      </w:r>
      <w:r>
        <w:rPr>
          <w:rFonts w:ascii="Times" w:hAnsi="Times" w:eastAsia="Times" w:cs="Times"/>
          <w:color w:val="00007C"/>
          <w:sz w:val="16"/>
          <w:szCs w:val="16"/>
        </w:rPr>
        <w:t>doi:10.1176/appi.ajp.163.7</w:t>
      </w:r>
      <w:r>
        <w:rPr>
          <w:rFonts w:ascii="Times" w:hAnsi="Times" w:eastAsia="Times" w:cs="Times"/>
          <w:color w:val="00007C"/>
          <w:sz w:val="16"/>
          <w:szCs w:val="16"/>
        </w:rPr>
        <w:fldChar w:fldCharType="end"/>
      </w:r>
    </w:p>
    <w:p>
      <w:pPr>
        <w:spacing w:after="0" w:line="3"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"http://dx.doi.org/10.1176/appi.ajp.163.7.1282" \h </w:instrText>
      </w:r>
      <w:r>
        <w:fldChar w:fldCharType="separate"/>
      </w:r>
      <w:r>
        <w:rPr>
          <w:rFonts w:ascii="Times" w:hAnsi="Times" w:eastAsia="Times" w:cs="Times"/>
          <w:color w:val="00007C"/>
          <w:sz w:val="16"/>
          <w:szCs w:val="16"/>
        </w:rPr>
        <w:t>.1282</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265"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Chamberlain, S. R., Hampshire, A., Müller, U., Rubia, K., Del Campo, N., Craig, K., . . . Sahakian, B. J. (2009). Atomoxetine modulates right inferior frontal activation during inhibitory control: A pharmacological functional magnetic resonance imaging study. </w:t>
      </w:r>
      <w:r>
        <w:rPr>
          <w:rFonts w:ascii="Times" w:hAnsi="Times" w:eastAsia="Times" w:cs="Times"/>
          <w:i/>
          <w:iCs/>
          <w:color w:val="auto"/>
          <w:sz w:val="16"/>
          <w:szCs w:val="16"/>
        </w:rPr>
        <w:t>Biological Psychiatry, 65,</w:t>
      </w:r>
      <w:r>
        <w:rPr>
          <w:rFonts w:ascii="Times" w:hAnsi="Times" w:eastAsia="Times" w:cs="Times"/>
          <w:color w:val="auto"/>
          <w:sz w:val="16"/>
          <w:szCs w:val="16"/>
        </w:rPr>
        <w:t xml:space="preserve"> 550 –555. </w:t>
      </w:r>
      <w:r>
        <w:fldChar w:fldCharType="begin"/>
      </w:r>
      <w:r>
        <w:instrText xml:space="preserve"> HYPERLINK "http://dx.doi.org/10.1016/j.biopsych.2008.10.014" \h </w:instrText>
      </w:r>
      <w:r>
        <w:fldChar w:fldCharType="separate"/>
      </w:r>
      <w:r>
        <w:rPr>
          <w:rFonts w:ascii="Times" w:hAnsi="Times" w:eastAsia="Times" w:cs="Times"/>
          <w:color w:val="00007C"/>
          <w:sz w:val="16"/>
          <w:szCs w:val="16"/>
        </w:rPr>
        <w:t>doi:10.1016/j.biopsych.2008.10.014</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3" w:lineRule="auto"/>
        <w:ind w:left="160"/>
        <w:rPr>
          <w:rFonts w:ascii="Times" w:hAnsi="Times" w:eastAsia="Times" w:cs="Times"/>
          <w:i/>
          <w:iCs/>
          <w:color w:val="auto"/>
          <w:sz w:val="16"/>
          <w:szCs w:val="16"/>
        </w:rPr>
      </w:pPr>
      <w:r>
        <w:rPr>
          <w:rFonts w:ascii="Times" w:hAnsi="Times" w:eastAsia="Times" w:cs="Times"/>
          <w:color w:val="auto"/>
          <w:sz w:val="16"/>
          <w:szCs w:val="16"/>
        </w:rPr>
        <w:t>Chambers, C. D., Bellgrove, M. A., Gould, I. C., English, T., Garavan, H., Mcnaught, E., . . . Mattingley, J. B. (2007). Dissociable mechanisms of</w:t>
      </w:r>
      <w:r>
        <w:rPr>
          <w:rFonts w:hint="eastAsia" w:ascii="Times" w:hAnsi="Times" w:eastAsia="宋体" w:cs="Times"/>
          <w:color w:val="auto"/>
          <w:sz w:val="16"/>
          <w:szCs w:val="16"/>
          <w:lang w:val="en-US" w:eastAsia="zh-CN"/>
        </w:rPr>
        <w:t xml:space="preserve"> </w:t>
      </w:r>
      <w:r>
        <w:rPr>
          <w:rFonts w:ascii="Times" w:hAnsi="Times" w:eastAsia="Times" w:cs="Times"/>
          <w:color w:val="auto"/>
          <w:sz w:val="16"/>
          <w:szCs w:val="16"/>
        </w:rPr>
        <w:t xml:space="preserve">cognitive control in prefrontal and premotor cortex. </w:t>
      </w:r>
      <w:r>
        <w:rPr>
          <w:rFonts w:ascii="Times" w:hAnsi="Times" w:eastAsia="Times" w:cs="Times"/>
          <w:i/>
          <w:iCs/>
          <w:color w:val="auto"/>
          <w:sz w:val="16"/>
          <w:szCs w:val="16"/>
        </w:rPr>
        <w:t xml:space="preserve">Journal of Neuro-physiology, 98, </w:t>
      </w:r>
      <w:r>
        <w:rPr>
          <w:rFonts w:ascii="Times" w:hAnsi="Times" w:eastAsia="Times" w:cs="Times"/>
          <w:color w:val="auto"/>
          <w:sz w:val="16"/>
          <w:szCs w:val="16"/>
        </w:rPr>
        <w:t>3638 –3647.</w:t>
      </w:r>
      <w:r>
        <w:rPr>
          <w:rFonts w:ascii="Times" w:hAnsi="Times" w:eastAsia="Times" w:cs="Times"/>
          <w:i/>
          <w:iCs/>
          <w:color w:val="auto"/>
          <w:sz w:val="16"/>
          <w:szCs w:val="16"/>
        </w:rPr>
        <w:t xml:space="preserve"> </w:t>
      </w:r>
      <w:r>
        <w:fldChar w:fldCharType="begin"/>
      </w:r>
      <w:r>
        <w:instrText xml:space="preserve"> HYPERLINK "http://dx.doi.org/10.1152/jn.00685.2007" \h </w:instrText>
      </w:r>
      <w:r>
        <w:fldChar w:fldCharType="separate"/>
      </w:r>
      <w:r>
        <w:rPr>
          <w:rFonts w:ascii="Times" w:hAnsi="Times" w:eastAsia="Times" w:cs="Times"/>
          <w:color w:val="00007C"/>
          <w:sz w:val="16"/>
          <w:szCs w:val="16"/>
        </w:rPr>
        <w:t>doi:10.1152/jn.00685.2007</w:t>
      </w:r>
      <w:r>
        <w:rPr>
          <w:rFonts w:ascii="Times" w:hAnsi="Times" w:eastAsia="Times" w:cs="Times"/>
          <w:color w:val="00007C"/>
          <w:sz w:val="16"/>
          <w:szCs w:val="16"/>
        </w:rPr>
        <w:fldChar w:fldCharType="end"/>
      </w:r>
    </w:p>
    <w:p>
      <w:pPr>
        <w:spacing w:after="0" w:line="18" w:lineRule="exact"/>
        <w:rPr>
          <w:color w:val="auto"/>
          <w:sz w:val="20"/>
          <w:szCs w:val="20"/>
        </w:rPr>
      </w:pPr>
    </w:p>
    <w:p>
      <w:pPr>
        <w:spacing w:after="0" w:line="260"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Chambers, C. D., Garavan, H., &amp; Bellgrove, M. A. (2009). Insights into the neural basis of response inhibition from cognitive and clinical neurosci-ence. </w:t>
      </w:r>
      <w:r>
        <w:rPr>
          <w:rFonts w:ascii="Times" w:hAnsi="Times" w:eastAsia="Times" w:cs="Times"/>
          <w:i/>
          <w:iCs/>
          <w:color w:val="auto"/>
          <w:sz w:val="16"/>
          <w:szCs w:val="16"/>
        </w:rPr>
        <w:t>Neuroscience and Biobehavioral Reviews, 33,</w:t>
      </w:r>
      <w:r>
        <w:rPr>
          <w:rFonts w:ascii="Times" w:hAnsi="Times" w:eastAsia="Times" w:cs="Times"/>
          <w:color w:val="auto"/>
          <w:sz w:val="16"/>
          <w:szCs w:val="16"/>
        </w:rPr>
        <w:t xml:space="preserve"> 631– 646. </w:t>
      </w:r>
      <w:r>
        <w:fldChar w:fldCharType="begin"/>
      </w:r>
      <w:r>
        <w:instrText xml:space="preserve"> HYPERLINK "http://dx.doi.org/10.1016/j.neubiorev.2008.08.016"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"http://dx.doi.org/10.1016/j.neubiorev.2008.08.016" \h </w:instrText>
      </w:r>
      <w:r>
        <w:fldChar w:fldCharType="separate"/>
      </w:r>
      <w:r>
        <w:rPr>
          <w:rFonts w:ascii="Times" w:hAnsi="Times" w:eastAsia="Times" w:cs="Times"/>
          <w:color w:val="00007C"/>
          <w:sz w:val="16"/>
          <w:szCs w:val="16"/>
        </w:rPr>
        <w:t>10.1016/j.neubiorev.2008.08.016</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0"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Chatham, C. H., Claus, E. D., Kim, A., Curran, T., Banich, M. T., &amp; Munakata, Y. (2012). Cognitive control reflects context monitoring, not motoric stopping, in response inhibition. </w:t>
      </w:r>
      <w:r>
        <w:rPr>
          <w:rFonts w:ascii="Times" w:hAnsi="Times" w:eastAsia="Times" w:cs="Times"/>
          <w:i/>
          <w:iCs/>
          <w:color w:val="auto"/>
          <w:sz w:val="16"/>
          <w:szCs w:val="16"/>
        </w:rPr>
        <w:t>PLoS ONE, 7</w:t>
      </w:r>
      <w:r>
        <w:rPr>
          <w:rFonts w:ascii="Times" w:hAnsi="Times" w:eastAsia="Times" w:cs="Times"/>
          <w:color w:val="auto"/>
          <w:sz w:val="16"/>
          <w:szCs w:val="16"/>
        </w:rPr>
        <w:t xml:space="preserve">(2), e31546. </w:t>
      </w:r>
      <w:r>
        <w:fldChar w:fldCharType="begin"/>
      </w:r>
      <w:r>
        <w:instrText xml:space="preserve"> HYPERLINK "http://dx.doi.org/10.1371/journal.pone.0031546"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"http://dx.doi.org/10.1371/journal.pone.0031546" \h </w:instrText>
      </w:r>
      <w:r>
        <w:fldChar w:fldCharType="separate"/>
      </w:r>
      <w:r>
        <w:rPr>
          <w:rFonts w:ascii="Times" w:hAnsi="Times" w:eastAsia="Times" w:cs="Times"/>
          <w:color w:val="00007C"/>
          <w:sz w:val="16"/>
          <w:szCs w:val="16"/>
        </w:rPr>
        <w:t>10.1371/journal.pone.0031546</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9"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Cohen, J. R., &amp; Poldrack, R. A. (2008). Automaticity in motor sequence learning does not impair response inhibition. </w:t>
      </w:r>
      <w:r>
        <w:rPr>
          <w:rFonts w:ascii="Times" w:hAnsi="Times" w:eastAsia="Times" w:cs="Times"/>
          <w:i/>
          <w:iCs/>
          <w:color w:val="auto"/>
          <w:sz w:val="16"/>
          <w:szCs w:val="16"/>
        </w:rPr>
        <w:t>Psychonomic Bulletin &amp;</w:t>
      </w:r>
      <w:r>
        <w:rPr>
          <w:rFonts w:ascii="Times" w:hAnsi="Times" w:eastAsia="Times" w:cs="Times"/>
          <w:color w:val="auto"/>
          <w:sz w:val="16"/>
          <w:szCs w:val="16"/>
        </w:rPr>
        <w:t xml:space="preserve"> </w:t>
      </w:r>
      <w:r>
        <w:rPr>
          <w:rFonts w:ascii="Times" w:hAnsi="Times" w:eastAsia="Times" w:cs="Times"/>
          <w:i/>
          <w:iCs/>
          <w:color w:val="auto"/>
          <w:sz w:val="16"/>
          <w:szCs w:val="16"/>
        </w:rPr>
        <w:t xml:space="preserve">Review, 15, </w:t>
      </w:r>
      <w:r>
        <w:rPr>
          <w:rFonts w:ascii="Times" w:hAnsi="Times" w:eastAsia="Times" w:cs="Times"/>
          <w:color w:val="auto"/>
          <w:sz w:val="16"/>
          <w:szCs w:val="16"/>
        </w:rPr>
        <w:t>108 –115.</w:t>
      </w:r>
      <w:r>
        <w:rPr>
          <w:rFonts w:ascii="Times" w:hAnsi="Times" w:eastAsia="Times" w:cs="Times"/>
          <w:i/>
          <w:iCs/>
          <w:color w:val="auto"/>
          <w:sz w:val="16"/>
          <w:szCs w:val="16"/>
        </w:rPr>
        <w:t xml:space="preserve"> </w:t>
      </w:r>
      <w:r>
        <w:fldChar w:fldCharType="begin"/>
      </w:r>
      <w:r>
        <w:instrText xml:space="preserve"> HYPERLINK "http://dx.doi.org/10.3758/PBR.15.1.108" \h </w:instrText>
      </w:r>
      <w:r>
        <w:fldChar w:fldCharType="separate"/>
      </w:r>
      <w:r>
        <w:rPr>
          <w:rFonts w:ascii="Times" w:hAnsi="Times" w:eastAsia="Times" w:cs="Times"/>
          <w:color w:val="00007C"/>
          <w:sz w:val="16"/>
          <w:szCs w:val="16"/>
        </w:rPr>
        <w:t>doi:10.3758/PBR.15.1.108</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0"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Collins, A. G. E., &amp; Frank, M. J. (2012). How much of reinforcement learning is working memory, not reinforcement learning? A behavioral, computational, and neurogenetic analysis. </w:t>
      </w:r>
      <w:r>
        <w:rPr>
          <w:rFonts w:ascii="Times" w:hAnsi="Times" w:eastAsia="Times" w:cs="Times"/>
          <w:i/>
          <w:iCs/>
          <w:color w:val="auto"/>
          <w:sz w:val="16"/>
          <w:szCs w:val="16"/>
        </w:rPr>
        <w:t xml:space="preserve">European Journal of Neuro-science, 35, </w:t>
      </w:r>
      <w:r>
        <w:rPr>
          <w:rFonts w:ascii="Times" w:hAnsi="Times" w:eastAsia="Times" w:cs="Times"/>
          <w:color w:val="auto"/>
          <w:sz w:val="16"/>
          <w:szCs w:val="16"/>
        </w:rPr>
        <w:t>1024 –1035.</w:t>
      </w:r>
      <w:r>
        <w:rPr>
          <w:rFonts w:ascii="Times" w:hAnsi="Times" w:eastAsia="Times" w:cs="Times"/>
          <w:i/>
          <w:iCs/>
          <w:color w:val="auto"/>
          <w:sz w:val="16"/>
          <w:szCs w:val="16"/>
        </w:rPr>
        <w:t xml:space="preserve"> </w:t>
      </w:r>
      <w:r>
        <w:fldChar w:fldCharType="begin"/>
      </w:r>
      <w:r>
        <w:instrText xml:space="preserve"> HYPERLINK "http://dx.doi.org/10.1111/j.1460-9568.2011.07980.x" \h </w:instrText>
      </w:r>
      <w:r>
        <w:fldChar w:fldCharType="separate"/>
      </w:r>
      <w:r>
        <w:rPr>
          <w:rFonts w:ascii="Times" w:hAnsi="Times" w:eastAsia="Times" w:cs="Times"/>
          <w:color w:val="00007C"/>
          <w:sz w:val="16"/>
          <w:szCs w:val="16"/>
        </w:rPr>
        <w:t>doi:10.1111/j.1460-9568.2011.07980.x</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9"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Congdon, E., Constable, R. T., Lesch, K. P., &amp; Canli, T. (2009). Influence of SLC6A3 and COMT variation on neural activation during response inhibition. </w:t>
      </w:r>
      <w:r>
        <w:rPr>
          <w:rFonts w:ascii="Times" w:hAnsi="Times" w:eastAsia="Times" w:cs="Times"/>
          <w:i/>
          <w:iCs/>
          <w:color w:val="auto"/>
          <w:sz w:val="16"/>
          <w:szCs w:val="16"/>
        </w:rPr>
        <w:t>Biological Psychology, 81,</w:t>
      </w:r>
      <w:r>
        <w:rPr>
          <w:rFonts w:ascii="Times" w:hAnsi="Times" w:eastAsia="Times" w:cs="Times"/>
          <w:color w:val="auto"/>
          <w:sz w:val="16"/>
          <w:szCs w:val="16"/>
        </w:rPr>
        <w:t xml:space="preserve"> 144 –152. </w:t>
      </w:r>
      <w:r>
        <w:fldChar w:fldCharType="begin"/>
      </w:r>
      <w:r>
        <w:instrText xml:space="preserve"> HYPERLINK "http://dx.doi.org/10.1016/j.biopsycho.2009.03.005" \h </w:instrText>
      </w:r>
      <w:r>
        <w:fldChar w:fldCharType="separate"/>
      </w:r>
      <w:r>
        <w:rPr>
          <w:rFonts w:ascii="Times" w:hAnsi="Times" w:eastAsia="Times" w:cs="Times"/>
          <w:color w:val="00007C"/>
          <w:sz w:val="16"/>
          <w:szCs w:val="16"/>
        </w:rPr>
        <w:t>doi:10.1016/j</w:t>
      </w:r>
      <w:r>
        <w:rPr>
          <w:rFonts w:ascii="Times" w:hAnsi="Times" w:eastAsia="Times" w:cs="Times"/>
          <w:color w:val="00007C"/>
          <w:sz w:val="16"/>
          <w:szCs w:val="16"/>
        </w:rPr>
        <w:fldChar w:fldCharType="end"/>
      </w:r>
    </w:p>
    <w:p>
      <w:pPr>
        <w:spacing w:after="0" w:line="4"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"http://dx.doi.org/10.1016/j.biopsycho.2009.03.005" \h </w:instrText>
      </w:r>
      <w:r>
        <w:fldChar w:fldCharType="separate"/>
      </w:r>
      <w:r>
        <w:rPr>
          <w:rFonts w:ascii="Times" w:hAnsi="Times" w:eastAsia="Times" w:cs="Times"/>
          <w:color w:val="00007C"/>
          <w:sz w:val="16"/>
          <w:szCs w:val="16"/>
        </w:rPr>
        <w:t>.biopsycho.2009.03.005</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53" w:lineRule="auto"/>
        <w:ind w:left="160" w:hanging="159"/>
        <w:jc w:val="both"/>
        <w:rPr>
          <w:color w:val="auto"/>
          <w:sz w:val="20"/>
          <w:szCs w:val="20"/>
        </w:rPr>
      </w:pPr>
      <w:r>
        <w:rPr>
          <w:rFonts w:ascii="Times" w:hAnsi="Times" w:eastAsia="Times" w:cs="Times"/>
          <w:color w:val="auto"/>
          <w:sz w:val="16"/>
          <w:szCs w:val="16"/>
        </w:rPr>
        <w:t xml:space="preserve">Curtis, C. E., &amp; D’Esposito, M. (2003). Persistent activity in the prefrontal cortex during working memory. </w:t>
      </w:r>
      <w:r>
        <w:rPr>
          <w:rFonts w:ascii="Times" w:hAnsi="Times" w:eastAsia="Times" w:cs="Times"/>
          <w:i/>
          <w:iCs/>
          <w:color w:val="auto"/>
          <w:sz w:val="16"/>
          <w:szCs w:val="16"/>
        </w:rPr>
        <w:t>Trends in Cognitive Sciences, 7,</w:t>
      </w:r>
      <w:r>
        <w:rPr>
          <w:rFonts w:ascii="Times" w:hAnsi="Times" w:eastAsia="Times" w:cs="Times"/>
          <w:color w:val="auto"/>
          <w:sz w:val="16"/>
          <w:szCs w:val="16"/>
        </w:rPr>
        <w:t xml:space="preserve"> 415–</w:t>
      </w:r>
    </w:p>
    <w:p>
      <w:pPr>
        <w:spacing w:after="0" w:line="9" w:lineRule="exact"/>
        <w:rPr>
          <w:color w:val="auto"/>
          <w:sz w:val="20"/>
          <w:szCs w:val="20"/>
        </w:rPr>
      </w:pPr>
    </w:p>
    <w:p>
      <w:pPr>
        <w:numPr>
          <w:ilvl w:val="0"/>
          <w:numId w:val="5"/>
        </w:numPr>
        <w:tabs>
          <w:tab w:val="left" w:pos="500"/>
        </w:tabs>
        <w:spacing w:after="0"/>
        <w:ind w:left="500" w:hanging="340"/>
        <w:rPr>
          <w:rFonts w:ascii="Times" w:hAnsi="Times" w:eastAsia="Times" w:cs="Times"/>
          <w:color w:val="00007C"/>
          <w:sz w:val="16"/>
          <w:szCs w:val="16"/>
        </w:rPr>
      </w:pPr>
      <w:r>
        <w:fldChar w:fldCharType="begin"/>
      </w:r>
      <w:r>
        <w:instrText xml:space="preserve"> HYPERLINK "http://dx.doi.org/10.1016/S1364-6613%2803%2900197-9" \h </w:instrText>
      </w:r>
      <w:r>
        <w:fldChar w:fldCharType="separate"/>
      </w:r>
      <w:r>
        <w:rPr>
          <w:rFonts w:ascii="Times" w:hAnsi="Times" w:eastAsia="Times" w:cs="Times"/>
          <w:color w:val="00007C"/>
          <w:sz w:val="16"/>
          <w:szCs w:val="16"/>
        </w:rPr>
        <w:t>doi:10.1016/S1364-6613(03)00197-9</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59"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Daw, N. D., Niv, Y., &amp; Dayan, P. (2005). Uncertainty-based competition between prefrontal and dorsolateral striatal systems for behavioral con-trol. </w:t>
      </w:r>
      <w:r>
        <w:rPr>
          <w:rFonts w:ascii="Times" w:hAnsi="Times" w:eastAsia="Times" w:cs="Times"/>
          <w:i/>
          <w:iCs/>
          <w:color w:val="auto"/>
          <w:sz w:val="16"/>
          <w:szCs w:val="16"/>
        </w:rPr>
        <w:t>Nature Neuroscience, 8,</w:t>
      </w:r>
      <w:r>
        <w:rPr>
          <w:rFonts w:ascii="Times" w:hAnsi="Times" w:eastAsia="Times" w:cs="Times"/>
          <w:color w:val="auto"/>
          <w:sz w:val="16"/>
          <w:szCs w:val="16"/>
        </w:rPr>
        <w:t xml:space="preserve"> 1704 –1711. </w:t>
      </w:r>
      <w:r>
        <w:fldChar w:fldCharType="begin"/>
      </w:r>
      <w:r>
        <w:instrText xml:space="preserve"> HYPERLINK "http://dx.doi.org/10.1038/nn1560" \h </w:instrText>
      </w:r>
      <w:r>
        <w:fldChar w:fldCharType="separate"/>
      </w:r>
      <w:r>
        <w:rPr>
          <w:rFonts w:ascii="Times" w:hAnsi="Times" w:eastAsia="Times" w:cs="Times"/>
          <w:color w:val="00007C"/>
          <w:sz w:val="16"/>
          <w:szCs w:val="16"/>
        </w:rPr>
        <w:t>doi:10.1038/nn1560</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0"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Derrfuss, J., Brass, M., Neumann, J., &amp; von Cramon, D. Y. (2005). Involvement of the inferior frontal junction in cognitive control: Meta-analyses of switching and Stroop studies. </w:t>
      </w:r>
      <w:r>
        <w:rPr>
          <w:rFonts w:ascii="Times" w:hAnsi="Times" w:eastAsia="Times" w:cs="Times"/>
          <w:i/>
          <w:iCs/>
          <w:color w:val="auto"/>
          <w:sz w:val="16"/>
          <w:szCs w:val="16"/>
        </w:rPr>
        <w:t>Human Brain Mapping, 25,</w:t>
      </w:r>
      <w:r>
        <w:rPr>
          <w:rFonts w:ascii="Times" w:hAnsi="Times" w:eastAsia="Times" w:cs="Times"/>
          <w:color w:val="auto"/>
          <w:sz w:val="16"/>
          <w:szCs w:val="16"/>
        </w:rPr>
        <w:t xml:space="preserve"> 22–34. </w:t>
      </w:r>
      <w:r>
        <w:fldChar w:fldCharType="begin"/>
      </w:r>
      <w:r>
        <w:instrText xml:space="preserve"> HYPERLINK "http://dx.doi.org/10.1002/hbm.20127" \h </w:instrText>
      </w:r>
      <w:r>
        <w:fldChar w:fldCharType="separate"/>
      </w:r>
      <w:r>
        <w:rPr>
          <w:rFonts w:ascii="Times" w:hAnsi="Times" w:eastAsia="Times" w:cs="Times"/>
          <w:color w:val="00007C"/>
          <w:sz w:val="16"/>
          <w:szCs w:val="16"/>
        </w:rPr>
        <w:t>doi:10.1002/hbm.20127</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0" w:lineRule="auto"/>
        <w:ind w:left="160" w:hanging="159"/>
        <w:jc w:val="both"/>
        <w:rPr>
          <w:color w:val="auto"/>
          <w:sz w:val="20"/>
          <w:szCs w:val="20"/>
        </w:rPr>
      </w:pPr>
      <w:r>
        <w:rPr>
          <w:rFonts w:ascii="Times" w:hAnsi="Times" w:eastAsia="Times" w:cs="Times"/>
          <w:color w:val="auto"/>
          <w:sz w:val="16"/>
          <w:szCs w:val="16"/>
        </w:rPr>
        <w:t xml:space="preserve">Derrfuss, J., Brass, M., &amp; von Cramon, D. Y. (2004). Cognitive control in the posterior frontolateral cortex: Evidence from common activations in task coordination, interference control, and working memory. </w:t>
      </w:r>
      <w:r>
        <w:rPr>
          <w:rFonts w:ascii="Times" w:hAnsi="Times" w:eastAsia="Times" w:cs="Times"/>
          <w:i/>
          <w:iCs/>
          <w:color w:val="auto"/>
          <w:sz w:val="16"/>
          <w:szCs w:val="16"/>
        </w:rPr>
        <w:t xml:space="preserve">NeuroIm-age, 23, </w:t>
      </w:r>
      <w:r>
        <w:rPr>
          <w:rFonts w:ascii="Times" w:hAnsi="Times" w:eastAsia="Times" w:cs="Times"/>
          <w:color w:val="auto"/>
          <w:sz w:val="16"/>
          <w:szCs w:val="16"/>
        </w:rPr>
        <w:t>604 – 612.</w:t>
      </w:r>
    </w:p>
    <w:p>
      <w:pPr>
        <w:spacing w:after="0" w:line="14" w:lineRule="exact"/>
        <w:rPr>
          <w:color w:val="auto"/>
          <w:sz w:val="20"/>
          <w:szCs w:val="20"/>
        </w:rPr>
      </w:pPr>
    </w:p>
    <w:p>
      <w:pPr>
        <w:spacing w:after="0" w:line="259"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Doll, B. B., Jacobs, W. J., Sanfey, A. G., &amp; Frank, M. J. (2009). Instruc-tional control of reinforcement learning: A behavioral and neurocompu-tational investigation. </w:t>
      </w:r>
      <w:r>
        <w:rPr>
          <w:rFonts w:ascii="Times" w:hAnsi="Times" w:eastAsia="Times" w:cs="Times"/>
          <w:i/>
          <w:iCs/>
          <w:color w:val="auto"/>
          <w:sz w:val="16"/>
          <w:szCs w:val="16"/>
        </w:rPr>
        <w:t>Brain Research, 1299,</w:t>
      </w:r>
      <w:r>
        <w:rPr>
          <w:rFonts w:ascii="Times" w:hAnsi="Times" w:eastAsia="Times" w:cs="Times"/>
          <w:color w:val="auto"/>
          <w:sz w:val="16"/>
          <w:szCs w:val="16"/>
        </w:rPr>
        <w:t xml:space="preserve"> 74 –94. </w:t>
      </w:r>
      <w:r>
        <w:fldChar w:fldCharType="begin"/>
      </w:r>
      <w:r>
        <w:instrText xml:space="preserve"> HYPERLINK "http://dx.doi.org/10.1016/j.brainres.2009.07.007" \h </w:instrText>
      </w:r>
      <w:r>
        <w:fldChar w:fldCharType="separate"/>
      </w:r>
      <w:r>
        <w:rPr>
          <w:rFonts w:ascii="Times" w:hAnsi="Times" w:eastAsia="Times" w:cs="Times"/>
          <w:color w:val="00007C"/>
          <w:sz w:val="16"/>
          <w:szCs w:val="16"/>
        </w:rPr>
        <w:t>doi:10.1016/j</w:t>
      </w:r>
      <w:r>
        <w:rPr>
          <w:rFonts w:ascii="Times" w:hAnsi="Times" w:eastAsia="Times" w:cs="Times"/>
          <w:color w:val="00007C"/>
          <w:sz w:val="16"/>
          <w:szCs w:val="16"/>
        </w:rPr>
        <w:fldChar w:fldCharType="end"/>
      </w:r>
    </w:p>
    <w:p>
      <w:pPr>
        <w:spacing w:after="0" w:line="4"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"http://dx.doi.org/10.1016/j.brainres.2009.07.007" \h </w:instrText>
      </w:r>
      <w:r>
        <w:fldChar w:fldCharType="separate"/>
      </w:r>
      <w:r>
        <w:rPr>
          <w:rFonts w:ascii="Times" w:hAnsi="Times" w:eastAsia="Times" w:cs="Times"/>
          <w:color w:val="00007C"/>
          <w:sz w:val="16"/>
          <w:szCs w:val="16"/>
        </w:rPr>
        <w:t>.brainres.2009.07.007</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60" w:lineRule="auto"/>
        <w:ind w:left="160" w:hanging="159"/>
        <w:jc w:val="both"/>
        <w:rPr>
          <w:color w:val="auto"/>
          <w:sz w:val="20"/>
          <w:szCs w:val="20"/>
        </w:rPr>
      </w:pPr>
      <w:r>
        <w:rPr>
          <w:rFonts w:ascii="Times" w:hAnsi="Times" w:eastAsia="Times" w:cs="Times"/>
          <w:color w:val="auto"/>
          <w:sz w:val="16"/>
          <w:szCs w:val="16"/>
        </w:rPr>
        <w:t xml:space="preserve">Eagle, D. M., Baunez, C., Hutcheson, D. M., Lehmann, O., Shah, A. P., &amp; Robbins, T. W. (2008). Stop-signal reaction-time task performance: Role of prefrontal cortex and subthalamic nucleus. </w:t>
      </w:r>
      <w:r>
        <w:rPr>
          <w:rFonts w:ascii="Times" w:hAnsi="Times" w:eastAsia="Times" w:cs="Times"/>
          <w:i/>
          <w:iCs/>
          <w:color w:val="auto"/>
          <w:sz w:val="16"/>
          <w:szCs w:val="16"/>
        </w:rPr>
        <w:t>Cerebral Cortex, 18,</w:t>
      </w:r>
      <w:r>
        <w:rPr>
          <w:rFonts w:ascii="Times" w:hAnsi="Times" w:eastAsia="Times" w:cs="Times"/>
          <w:color w:val="auto"/>
          <w:sz w:val="16"/>
          <w:szCs w:val="16"/>
        </w:rPr>
        <w:t xml:space="preserve"> 178 –188.</w:t>
      </w:r>
    </w:p>
    <w:p>
      <w:pPr>
        <w:spacing w:after="0" w:line="14" w:lineRule="exact"/>
        <w:rPr>
          <w:color w:val="auto"/>
          <w:sz w:val="20"/>
          <w:szCs w:val="20"/>
        </w:rPr>
      </w:pPr>
    </w:p>
    <w:p>
      <w:pPr>
        <w:spacing w:after="0" w:line="25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Eimer, M. (1995). S-R compatibility and response selection. </w:t>
      </w:r>
      <w:r>
        <w:rPr>
          <w:rFonts w:ascii="Times" w:hAnsi="Times" w:eastAsia="Times" w:cs="Times"/>
          <w:i/>
          <w:iCs/>
          <w:color w:val="auto"/>
          <w:sz w:val="16"/>
          <w:szCs w:val="16"/>
        </w:rPr>
        <w:t xml:space="preserve">Acta Psycho-logica, 90, </w:t>
      </w:r>
      <w:r>
        <w:rPr>
          <w:rFonts w:ascii="Times" w:hAnsi="Times" w:eastAsia="Times" w:cs="Times"/>
          <w:color w:val="auto"/>
          <w:sz w:val="16"/>
          <w:szCs w:val="16"/>
        </w:rPr>
        <w:t>301–313.</w:t>
      </w:r>
      <w:r>
        <w:rPr>
          <w:rFonts w:ascii="Times" w:hAnsi="Times" w:eastAsia="Times" w:cs="Times"/>
          <w:i/>
          <w:iCs/>
          <w:color w:val="auto"/>
          <w:sz w:val="16"/>
          <w:szCs w:val="16"/>
        </w:rPr>
        <w:t xml:space="preserve"> </w:t>
      </w:r>
      <w:r>
        <w:fldChar w:fldCharType="begin"/>
      </w:r>
      <w:r>
        <w:instrText xml:space="preserve"> HYPERLINK "http://dx.doi.org/10.1016/0001-6918%2895%2900022-M" \h </w:instrText>
      </w:r>
      <w:r>
        <w:fldChar w:fldCharType="separate"/>
      </w:r>
      <w:r>
        <w:rPr>
          <w:rFonts w:ascii="Times" w:hAnsi="Times" w:eastAsia="Times" w:cs="Times"/>
          <w:color w:val="00007C"/>
          <w:sz w:val="16"/>
          <w:szCs w:val="16"/>
        </w:rPr>
        <w:t>doi:10.1016/0001-6918(95)00022-M</w:t>
      </w:r>
      <w:r>
        <w:rPr>
          <w:rFonts w:ascii="Times" w:hAnsi="Times" w:eastAsia="Times" w:cs="Times"/>
          <w:color w:val="00007C"/>
          <w:sz w:val="16"/>
          <w:szCs w:val="16"/>
        </w:rPr>
        <w:fldChar w:fldCharType="end"/>
      </w:r>
    </w:p>
    <w:p>
      <w:pPr>
        <w:spacing w:after="0" w:line="18" w:lineRule="exact"/>
        <w:rPr>
          <w:color w:val="auto"/>
          <w:sz w:val="20"/>
          <w:szCs w:val="20"/>
        </w:rPr>
      </w:pPr>
    </w:p>
    <w:p>
      <w:pPr>
        <w:spacing w:after="0" w:line="260"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Emeric, E. E., Leslie, M., Pouget, P., &amp; Schall, J. D. (2010). Performance monitoring local field potentials in the medial frontal cortex of primates: Supplementary eye field. </w:t>
      </w:r>
      <w:r>
        <w:rPr>
          <w:rFonts w:ascii="Times" w:hAnsi="Times" w:eastAsia="Times" w:cs="Times"/>
          <w:i/>
          <w:iCs/>
          <w:color w:val="auto"/>
          <w:sz w:val="16"/>
          <w:szCs w:val="16"/>
        </w:rPr>
        <w:t>Journal of Neurophysiology, 104,</w:t>
      </w:r>
      <w:r>
        <w:rPr>
          <w:rFonts w:ascii="Times" w:hAnsi="Times" w:eastAsia="Times" w:cs="Times"/>
          <w:color w:val="auto"/>
          <w:sz w:val="16"/>
          <w:szCs w:val="16"/>
        </w:rPr>
        <w:t xml:space="preserve"> 1523–1537. </w:t>
      </w:r>
      <w:r>
        <w:fldChar w:fldCharType="begin"/>
      </w:r>
      <w:r>
        <w:instrText xml:space="preserve"> HYPERLINK "http://dx.doi.org/10.1152/jn.01001.2009" \h </w:instrText>
      </w:r>
      <w:r>
        <w:fldChar w:fldCharType="separate"/>
      </w:r>
      <w:r>
        <w:rPr>
          <w:rFonts w:ascii="Times" w:hAnsi="Times" w:eastAsia="Times" w:cs="Times"/>
          <w:color w:val="00007C"/>
          <w:sz w:val="16"/>
          <w:szCs w:val="16"/>
        </w:rPr>
        <w:t>doi:10.1152/jn.01001.2009</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3"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Evans, J. S. B. T. (2003). In two minds: Dual-process accounts of reason-ing. </w:t>
      </w:r>
      <w:r>
        <w:rPr>
          <w:rFonts w:ascii="Times" w:hAnsi="Times" w:eastAsia="Times" w:cs="Times"/>
          <w:i/>
          <w:iCs/>
          <w:color w:val="auto"/>
          <w:sz w:val="16"/>
          <w:szCs w:val="16"/>
        </w:rPr>
        <w:t>Trends in Cognitive Sciences, 7,</w:t>
      </w:r>
      <w:r>
        <w:rPr>
          <w:rFonts w:ascii="Times" w:hAnsi="Times" w:eastAsia="Times" w:cs="Times"/>
          <w:color w:val="auto"/>
          <w:sz w:val="16"/>
          <w:szCs w:val="16"/>
        </w:rPr>
        <w:t xml:space="preserve"> 454 – 459. </w:t>
      </w:r>
      <w:r>
        <w:fldChar w:fldCharType="begin"/>
      </w:r>
      <w:r>
        <w:instrText xml:space="preserve"> HYPERLINK "http://dx.doi.org/10.1016/j.tics.2003.08.012" \h </w:instrText>
      </w:r>
      <w:r>
        <w:fldChar w:fldCharType="separate"/>
      </w:r>
      <w:r>
        <w:rPr>
          <w:rFonts w:ascii="Times" w:hAnsi="Times" w:eastAsia="Times" w:cs="Times"/>
          <w:color w:val="00007C"/>
          <w:sz w:val="16"/>
          <w:szCs w:val="16"/>
        </w:rPr>
        <w:t>doi:10.1016/j.tics.2003</w:t>
      </w:r>
      <w:r>
        <w:rPr>
          <w:rFonts w:ascii="Times" w:hAnsi="Times" w:eastAsia="Times" w:cs="Times"/>
          <w:color w:val="00007C"/>
          <w:sz w:val="16"/>
          <w:szCs w:val="16"/>
        </w:rPr>
        <w:fldChar w:fldCharType="end"/>
      </w:r>
    </w:p>
    <w:p>
      <w:pPr>
        <w:spacing w:after="0" w:line="9"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"http://dx.doi.org/10.1016/j.tics.2003.08.012" \h </w:instrText>
      </w:r>
      <w:r>
        <w:fldChar w:fldCharType="separate"/>
      </w:r>
      <w:r>
        <w:rPr>
          <w:rFonts w:ascii="Times" w:hAnsi="Times" w:eastAsia="Times" w:cs="Times"/>
          <w:color w:val="00007C"/>
          <w:sz w:val="16"/>
          <w:szCs w:val="16"/>
        </w:rPr>
        <w:t>.08.012</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82" w:lineRule="auto"/>
        <w:ind w:left="160" w:hanging="159"/>
        <w:jc w:val="both"/>
        <w:rPr>
          <w:color w:val="auto"/>
          <w:sz w:val="20"/>
          <w:szCs w:val="20"/>
        </w:rPr>
      </w:pPr>
      <w:r>
        <w:rPr>
          <w:rFonts w:ascii="Times" w:hAnsi="Times" w:eastAsia="Times" w:cs="Times"/>
          <w:color w:val="auto"/>
          <w:sz w:val="15"/>
          <w:szCs w:val="15"/>
        </w:rPr>
        <w:t xml:space="preserve">Everling, S., Dorris, M. C., Klein, R. M., &amp; Munoz, D. P. (1999). Role of primate superior colliculus in preparation and execution of anti-saccades and pro-saccades. </w:t>
      </w:r>
      <w:r>
        <w:rPr>
          <w:rFonts w:ascii="Times" w:hAnsi="Times" w:eastAsia="Times" w:cs="Times"/>
          <w:i/>
          <w:iCs/>
          <w:color w:val="auto"/>
          <w:sz w:val="15"/>
          <w:szCs w:val="15"/>
        </w:rPr>
        <w:t>The Journal of Neuroscience, 19,</w:t>
      </w:r>
      <w:r>
        <w:rPr>
          <w:rFonts w:ascii="Times" w:hAnsi="Times" w:eastAsia="Times" w:cs="Times"/>
          <w:color w:val="auto"/>
          <w:sz w:val="15"/>
          <w:szCs w:val="15"/>
        </w:rPr>
        <w:t xml:space="preserve"> 2740 –2754.</w:t>
      </w:r>
    </w:p>
    <w:p>
      <w:pPr>
        <w:spacing w:after="0" w:line="260" w:lineRule="auto"/>
        <w:ind w:hanging="159"/>
        <w:jc w:val="both"/>
        <w:rPr>
          <w:rFonts w:ascii="Times" w:hAnsi="Times" w:eastAsia="Times" w:cs="Times"/>
          <w:color w:val="auto"/>
          <w:sz w:val="16"/>
          <w:szCs w:val="16"/>
        </w:rPr>
      </w:pPr>
      <w:r>
        <w:rPr>
          <w:rFonts w:ascii="Times" w:hAnsi="Times" w:eastAsia="Times" w:cs="Times"/>
          <w:color w:val="auto"/>
          <w:sz w:val="16"/>
          <w:szCs w:val="16"/>
        </w:rPr>
        <w:t xml:space="preserve">Farley, I. J., Price, K. S., McCullough, E., Deck, J. H., Hordynski, W., &amp; Hornykiewicz, O. (1978, April 28). Norepinephrine in chronic paranoid schizophrenia: Above-normal levels in limbic forebrain. </w:t>
      </w:r>
      <w:r>
        <w:rPr>
          <w:rFonts w:ascii="Times" w:hAnsi="Times" w:eastAsia="Times" w:cs="Times"/>
          <w:i/>
          <w:iCs/>
          <w:color w:val="auto"/>
          <w:sz w:val="16"/>
          <w:szCs w:val="16"/>
        </w:rPr>
        <w:t>Science, 200,</w:t>
      </w:r>
      <w:r>
        <w:rPr>
          <w:rFonts w:ascii="Times" w:hAnsi="Times" w:eastAsia="Times" w:cs="Times"/>
          <w:color w:val="auto"/>
          <w:sz w:val="16"/>
          <w:szCs w:val="16"/>
        </w:rPr>
        <w:t xml:space="preserve"> 456 – 458. </w:t>
      </w:r>
      <w:r>
        <w:fldChar w:fldCharType="begin"/>
      </w:r>
      <w:r>
        <w:instrText xml:space="preserve"> HYPERLINK "http://dx.doi.org/10.1126/science.644310" \h </w:instrText>
      </w:r>
      <w:r>
        <w:fldChar w:fldCharType="separate"/>
      </w:r>
      <w:r>
        <w:rPr>
          <w:rFonts w:ascii="Times" w:hAnsi="Times" w:eastAsia="Times" w:cs="Times"/>
          <w:color w:val="00007C"/>
          <w:sz w:val="16"/>
          <w:szCs w:val="16"/>
        </w:rPr>
        <w:t>doi:10.1126/science.644310</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0" w:lineRule="auto"/>
        <w:ind w:hanging="159"/>
        <w:jc w:val="both"/>
        <w:rPr>
          <w:rFonts w:ascii="Times" w:hAnsi="Times" w:eastAsia="Times" w:cs="Times"/>
          <w:color w:val="00007C"/>
          <w:sz w:val="16"/>
          <w:szCs w:val="16"/>
        </w:rPr>
      </w:pPr>
      <w:r>
        <w:rPr>
          <w:rFonts w:ascii="Times" w:hAnsi="Times" w:eastAsia="Times" w:cs="Times"/>
          <w:color w:val="auto"/>
          <w:sz w:val="16"/>
          <w:szCs w:val="16"/>
        </w:rPr>
        <w:t xml:space="preserve">Fleming, S. M., Thomas, C. L., &amp; Dolan, R. J. (2010, March 15). Over-coming status quo bias in the human brain. </w:t>
      </w:r>
      <w:r>
        <w:rPr>
          <w:rFonts w:ascii="Times" w:hAnsi="Times" w:eastAsia="Times" w:cs="Times"/>
          <w:i/>
          <w:iCs/>
          <w:color w:val="auto"/>
          <w:sz w:val="16"/>
          <w:szCs w:val="16"/>
        </w:rPr>
        <w:t>Proceedings of the National</w:t>
      </w:r>
      <w:r>
        <w:rPr>
          <w:rFonts w:ascii="Times" w:hAnsi="Times" w:eastAsia="Times" w:cs="Times"/>
          <w:color w:val="auto"/>
          <w:sz w:val="16"/>
          <w:szCs w:val="16"/>
        </w:rPr>
        <w:t xml:space="preserve"> </w:t>
      </w:r>
      <w:r>
        <w:rPr>
          <w:rFonts w:ascii="Times" w:hAnsi="Times" w:eastAsia="Times" w:cs="Times"/>
          <w:i/>
          <w:iCs/>
          <w:color w:val="auto"/>
          <w:sz w:val="16"/>
          <w:szCs w:val="16"/>
        </w:rPr>
        <w:t>Academy of Sciences, USA</w:t>
      </w:r>
      <w:r>
        <w:rPr>
          <w:rFonts w:ascii="Times" w:hAnsi="Times" w:eastAsia="Times" w:cs="Times"/>
          <w:color w:val="auto"/>
          <w:sz w:val="16"/>
          <w:szCs w:val="16"/>
        </w:rPr>
        <w:t>. Advance online publication.</w:t>
      </w:r>
      <w:r>
        <w:rPr>
          <w:rFonts w:ascii="Times" w:hAnsi="Times" w:eastAsia="Times" w:cs="Times"/>
          <w:i/>
          <w:iCs/>
          <w:color w:val="auto"/>
          <w:sz w:val="16"/>
          <w:szCs w:val="16"/>
        </w:rPr>
        <w:t xml:space="preserve"> </w:t>
      </w:r>
      <w:r>
        <w:fldChar w:fldCharType="begin"/>
      </w:r>
      <w:r>
        <w:instrText xml:space="preserve"> HYPERLINK "http://dx.doi.org/10.1073/pnas.0910380107" \h </w:instrText>
      </w:r>
      <w:r>
        <w:fldChar w:fldCharType="separate"/>
      </w:r>
      <w:r>
        <w:rPr>
          <w:rFonts w:ascii="Times" w:hAnsi="Times" w:eastAsia="Times" w:cs="Times"/>
          <w:color w:val="00007C"/>
          <w:sz w:val="16"/>
          <w:szCs w:val="16"/>
        </w:rPr>
        <w:t>doi:10.1073/</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fldChar w:fldCharType="begin"/>
      </w:r>
      <w:r>
        <w:instrText xml:space="preserve"> HYPERLINK "http://dx.doi.org/10.1073/pnas.0910380107" \h </w:instrText>
      </w:r>
      <w:r>
        <w:fldChar w:fldCharType="separate"/>
      </w:r>
      <w:r>
        <w:rPr>
          <w:rFonts w:ascii="Times" w:hAnsi="Times" w:eastAsia="Times" w:cs="Times"/>
          <w:color w:val="00007C"/>
          <w:sz w:val="16"/>
          <w:szCs w:val="16"/>
        </w:rPr>
        <w:t>pnas.0910380107</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9" w:lineRule="auto"/>
        <w:ind w:hanging="159"/>
        <w:jc w:val="both"/>
        <w:rPr>
          <w:rFonts w:ascii="Times" w:hAnsi="Times" w:eastAsia="Times" w:cs="Times"/>
          <w:i/>
          <w:iCs/>
          <w:color w:val="auto"/>
          <w:sz w:val="16"/>
          <w:szCs w:val="16"/>
        </w:rPr>
      </w:pPr>
      <w:r>
        <w:rPr>
          <w:rFonts w:ascii="Times" w:hAnsi="Times" w:eastAsia="Times" w:cs="Times"/>
          <w:color w:val="auto"/>
          <w:sz w:val="16"/>
          <w:szCs w:val="16"/>
        </w:rPr>
        <w:t xml:space="preserve">Ford, K. A., &amp; Everling, S. (2009). Neural activity in primate caudate nucleus associated with pro- and antisaccades. </w:t>
      </w:r>
      <w:r>
        <w:rPr>
          <w:rFonts w:ascii="Times" w:hAnsi="Times" w:eastAsia="Times" w:cs="Times"/>
          <w:i/>
          <w:iCs/>
          <w:color w:val="auto"/>
          <w:sz w:val="16"/>
          <w:szCs w:val="16"/>
        </w:rPr>
        <w:t xml:space="preserve">Journal of Neurophysi-ology, 102, </w:t>
      </w:r>
      <w:r>
        <w:rPr>
          <w:rFonts w:ascii="Times" w:hAnsi="Times" w:eastAsia="Times" w:cs="Times"/>
          <w:color w:val="auto"/>
          <w:sz w:val="16"/>
          <w:szCs w:val="16"/>
        </w:rPr>
        <w:t>2334 –2341.</w:t>
      </w:r>
      <w:r>
        <w:rPr>
          <w:rFonts w:ascii="Times" w:hAnsi="Times" w:eastAsia="Times" w:cs="Times"/>
          <w:i/>
          <w:iCs/>
          <w:color w:val="auto"/>
          <w:sz w:val="16"/>
          <w:szCs w:val="16"/>
        </w:rPr>
        <w:t xml:space="preserve"> </w:t>
      </w:r>
      <w:r>
        <w:fldChar w:fldCharType="begin"/>
      </w:r>
      <w:r>
        <w:instrText xml:space="preserve"> HYPERLINK "http://dx.doi.org/10.1152/jn.00125.2009" \h </w:instrText>
      </w:r>
      <w:r>
        <w:fldChar w:fldCharType="separate"/>
      </w:r>
      <w:r>
        <w:rPr>
          <w:rFonts w:ascii="Times" w:hAnsi="Times" w:eastAsia="Times" w:cs="Times"/>
          <w:color w:val="00007C"/>
          <w:sz w:val="16"/>
          <w:szCs w:val="16"/>
        </w:rPr>
        <w:t>doi:10.1152/jn.00125.2009</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1" w:lineRule="auto"/>
        <w:ind w:hanging="159"/>
        <w:jc w:val="both"/>
        <w:rPr>
          <w:rFonts w:ascii="Times" w:hAnsi="Times" w:eastAsia="Times" w:cs="Times"/>
          <w:color w:val="auto"/>
          <w:sz w:val="16"/>
          <w:szCs w:val="16"/>
        </w:rPr>
      </w:pPr>
      <w:r>
        <w:rPr>
          <w:rFonts w:ascii="Times" w:hAnsi="Times" w:eastAsia="Times" w:cs="Times"/>
          <w:color w:val="auto"/>
          <w:sz w:val="16"/>
          <w:szCs w:val="16"/>
        </w:rPr>
        <w:t xml:space="preserve">Forstmann, B. U., Anwander, A., Schfer, A., Neumann, J., Brown, S., Wagenmakers, E.-J., . . . Turner, R. (2010, August 23). Cortico-striatal connections predict control over speed and accuracy in perceptual de-cision making. </w:t>
      </w:r>
      <w:r>
        <w:rPr>
          <w:rFonts w:ascii="Times" w:hAnsi="Times" w:eastAsia="Times" w:cs="Times"/>
          <w:i/>
          <w:iCs/>
          <w:color w:val="auto"/>
          <w:sz w:val="16"/>
          <w:szCs w:val="16"/>
        </w:rPr>
        <w:t>Proceedings of the National Academy of Sciences, USA</w:t>
      </w:r>
      <w:r>
        <w:rPr>
          <w:rFonts w:ascii="Times" w:hAnsi="Times" w:eastAsia="Times" w:cs="Times"/>
          <w:color w:val="auto"/>
          <w:sz w:val="16"/>
          <w:szCs w:val="16"/>
        </w:rPr>
        <w:t xml:space="preserve">. Advance online publication. </w:t>
      </w:r>
      <w:r>
        <w:fldChar w:fldCharType="begin"/>
      </w:r>
      <w:r>
        <w:instrText xml:space="preserve"> HYPERLINK "http://dx.doi.org/10.1073/pnas.1004932107" \h </w:instrText>
      </w:r>
      <w:r>
        <w:fldChar w:fldCharType="separate"/>
      </w:r>
      <w:r>
        <w:rPr>
          <w:rFonts w:ascii="Times" w:hAnsi="Times" w:eastAsia="Times" w:cs="Times"/>
          <w:color w:val="00007C"/>
          <w:sz w:val="16"/>
          <w:szCs w:val="16"/>
        </w:rPr>
        <w:t>doi:10.1073/pnas.1004932107</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1" w:lineRule="auto"/>
        <w:ind w:hanging="159"/>
        <w:jc w:val="both"/>
        <w:rPr>
          <w:rFonts w:ascii="Times" w:hAnsi="Times" w:eastAsia="Times" w:cs="Times"/>
          <w:color w:val="auto"/>
          <w:sz w:val="16"/>
          <w:szCs w:val="16"/>
        </w:rPr>
      </w:pPr>
      <w:r>
        <w:rPr>
          <w:rFonts w:ascii="Times" w:hAnsi="Times" w:eastAsia="Times" w:cs="Times"/>
          <w:color w:val="auto"/>
          <w:sz w:val="16"/>
          <w:szCs w:val="16"/>
        </w:rPr>
        <w:t xml:space="preserve">Forstmann, B. U., Dutilh, G., Brown, S., Neumann, J., von Cramon, D. Y., Ridderinkhof, K. R., &amp; Wagenmakers, E.-J. (2008, November 3). Stria-tum and pre-SMA facilitate decision-making under time pressure. </w:t>
      </w:r>
      <w:r>
        <w:rPr>
          <w:rFonts w:ascii="Times" w:hAnsi="Times" w:eastAsia="Times" w:cs="Times"/>
          <w:i/>
          <w:iCs/>
          <w:color w:val="auto"/>
          <w:sz w:val="16"/>
          <w:szCs w:val="16"/>
        </w:rPr>
        <w:t>Pro-ceedings of the National Academy of Sciences, USA</w:t>
      </w:r>
      <w:r>
        <w:rPr>
          <w:rFonts w:ascii="Times" w:hAnsi="Times" w:eastAsia="Times" w:cs="Times"/>
          <w:color w:val="auto"/>
          <w:sz w:val="16"/>
          <w:szCs w:val="16"/>
        </w:rPr>
        <w:t>. Advance online</w:t>
      </w:r>
      <w:r>
        <w:rPr>
          <w:rFonts w:ascii="Times" w:hAnsi="Times" w:eastAsia="Times" w:cs="Times"/>
          <w:i/>
          <w:iCs/>
          <w:color w:val="auto"/>
          <w:sz w:val="16"/>
          <w:szCs w:val="16"/>
        </w:rPr>
        <w:t xml:space="preserve"> </w:t>
      </w:r>
      <w:r>
        <w:rPr>
          <w:rFonts w:ascii="Times" w:hAnsi="Times" w:eastAsia="Times" w:cs="Times"/>
          <w:color w:val="auto"/>
          <w:sz w:val="16"/>
          <w:szCs w:val="16"/>
        </w:rPr>
        <w:t xml:space="preserve">publication. </w:t>
      </w:r>
      <w:r>
        <w:fldChar w:fldCharType="begin"/>
      </w:r>
      <w:r>
        <w:instrText xml:space="preserve"> HYPERLINK "http://dx.doi.org/10.1073/pnas.0805903105" \h </w:instrText>
      </w:r>
      <w:r>
        <w:fldChar w:fldCharType="separate"/>
      </w:r>
      <w:r>
        <w:rPr>
          <w:rFonts w:ascii="Times" w:hAnsi="Times" w:eastAsia="Times" w:cs="Times"/>
          <w:color w:val="00007C"/>
          <w:sz w:val="16"/>
          <w:szCs w:val="16"/>
        </w:rPr>
        <w:t>doi:10.1073/pnas.0805903105</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0" w:lineRule="auto"/>
        <w:ind w:hanging="159"/>
        <w:jc w:val="both"/>
        <w:rPr>
          <w:rFonts w:ascii="Times" w:hAnsi="Times" w:eastAsia="Times" w:cs="Times"/>
          <w:color w:val="auto"/>
          <w:sz w:val="16"/>
          <w:szCs w:val="16"/>
        </w:rPr>
      </w:pPr>
      <w:r>
        <w:rPr>
          <w:rFonts w:ascii="Times" w:hAnsi="Times" w:eastAsia="Times" w:cs="Times"/>
          <w:color w:val="auto"/>
          <w:sz w:val="16"/>
          <w:szCs w:val="16"/>
        </w:rPr>
        <w:t xml:space="preserve">Frank, M. J. (2005). Dynamic dopamine modulation in the basal ganglia: A neurocomputational account of cognitive deficits in medicated and non-medicated Parkinsonism. </w:t>
      </w:r>
      <w:r>
        <w:rPr>
          <w:rFonts w:ascii="Times" w:hAnsi="Times" w:eastAsia="Times" w:cs="Times"/>
          <w:i/>
          <w:iCs/>
          <w:color w:val="auto"/>
          <w:sz w:val="16"/>
          <w:szCs w:val="16"/>
        </w:rPr>
        <w:t>Journal of Cognitive Neuroscience, 17,</w:t>
      </w:r>
      <w:r>
        <w:rPr>
          <w:rFonts w:ascii="Times" w:hAnsi="Times" w:eastAsia="Times" w:cs="Times"/>
          <w:color w:val="auto"/>
          <w:sz w:val="16"/>
          <w:szCs w:val="16"/>
        </w:rPr>
        <w:t xml:space="preserve"> 51–72. </w:t>
      </w:r>
      <w:r>
        <w:fldChar w:fldCharType="begin"/>
      </w:r>
      <w:r>
        <w:instrText xml:space="preserve"> HYPERLINK "http://dx.doi.org/10.1162/0898929052880093" \h </w:instrText>
      </w:r>
      <w:r>
        <w:fldChar w:fldCharType="separate"/>
      </w:r>
      <w:r>
        <w:rPr>
          <w:rFonts w:ascii="Times" w:hAnsi="Times" w:eastAsia="Times" w:cs="Times"/>
          <w:color w:val="00007C"/>
          <w:sz w:val="16"/>
          <w:szCs w:val="16"/>
        </w:rPr>
        <w:t>doi:10.1162/0898929052880093</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9" w:lineRule="auto"/>
        <w:ind w:hanging="159"/>
        <w:jc w:val="both"/>
        <w:rPr>
          <w:color w:val="auto"/>
          <w:sz w:val="20"/>
          <w:szCs w:val="20"/>
        </w:rPr>
      </w:pPr>
      <w:r>
        <w:rPr>
          <w:rFonts w:ascii="Times" w:hAnsi="Times" w:eastAsia="Times" w:cs="Times"/>
          <w:color w:val="auto"/>
          <w:sz w:val="16"/>
          <w:szCs w:val="16"/>
        </w:rPr>
        <w:t xml:space="preserve">Frank, M. J. (2006). Hold your horses: A dynamic computational role for the subthalamic nucleus in decision making. </w:t>
      </w:r>
      <w:r>
        <w:rPr>
          <w:rFonts w:ascii="Times" w:hAnsi="Times" w:eastAsia="Times" w:cs="Times"/>
          <w:i/>
          <w:iCs/>
          <w:color w:val="auto"/>
          <w:sz w:val="16"/>
          <w:szCs w:val="16"/>
        </w:rPr>
        <w:t>Neural Networks, 19,</w:t>
      </w:r>
      <w:r>
        <w:rPr>
          <w:rFonts w:ascii="Times" w:hAnsi="Times" w:eastAsia="Times" w:cs="Times"/>
          <w:color w:val="auto"/>
          <w:sz w:val="16"/>
          <w:szCs w:val="16"/>
        </w:rPr>
        <w:t xml:space="preserve"> 1120 –1136.</w:t>
      </w:r>
    </w:p>
    <w:p>
      <w:pPr>
        <w:spacing w:after="0" w:line="13" w:lineRule="exact"/>
        <w:rPr>
          <w:color w:val="auto"/>
          <w:sz w:val="20"/>
          <w:szCs w:val="20"/>
        </w:rPr>
      </w:pPr>
    </w:p>
    <w:p>
      <w:pPr>
        <w:spacing w:after="0" w:line="259" w:lineRule="auto"/>
        <w:ind w:hanging="159"/>
        <w:jc w:val="both"/>
        <w:rPr>
          <w:rFonts w:ascii="Times" w:hAnsi="Times" w:eastAsia="Times" w:cs="Times"/>
          <w:i/>
          <w:iCs/>
          <w:color w:val="auto"/>
          <w:sz w:val="16"/>
          <w:szCs w:val="16"/>
        </w:rPr>
      </w:pPr>
      <w:r>
        <w:rPr>
          <w:rFonts w:ascii="Times" w:hAnsi="Times" w:eastAsia="Times" w:cs="Times"/>
          <w:color w:val="auto"/>
          <w:sz w:val="16"/>
          <w:szCs w:val="16"/>
        </w:rPr>
        <w:t xml:space="preserve">Frank, M., &amp; Badre, D. (2012). Mechanisms of hierarchical reinforcement learning in corticostriatal circuits 1: Computational analysis. </w:t>
      </w:r>
      <w:r>
        <w:rPr>
          <w:rFonts w:ascii="Times" w:hAnsi="Times" w:eastAsia="Times" w:cs="Times"/>
          <w:i/>
          <w:iCs/>
          <w:color w:val="auto"/>
          <w:sz w:val="16"/>
          <w:szCs w:val="16"/>
        </w:rPr>
        <w:t>Cerebral</w:t>
      </w:r>
      <w:r>
        <w:rPr>
          <w:rFonts w:ascii="Times" w:hAnsi="Times" w:eastAsia="Times" w:cs="Times"/>
          <w:color w:val="auto"/>
          <w:sz w:val="16"/>
          <w:szCs w:val="16"/>
        </w:rPr>
        <w:t xml:space="preserve"> </w:t>
      </w:r>
      <w:r>
        <w:rPr>
          <w:rFonts w:ascii="Times" w:hAnsi="Times" w:eastAsia="Times" w:cs="Times"/>
          <w:i/>
          <w:iCs/>
          <w:color w:val="auto"/>
          <w:sz w:val="16"/>
          <w:szCs w:val="16"/>
        </w:rPr>
        <w:t xml:space="preserve">Cortex, 22, </w:t>
      </w:r>
      <w:r>
        <w:rPr>
          <w:rFonts w:ascii="Times" w:hAnsi="Times" w:eastAsia="Times" w:cs="Times"/>
          <w:color w:val="auto"/>
          <w:sz w:val="16"/>
          <w:szCs w:val="16"/>
        </w:rPr>
        <w:t>509 –526.</w:t>
      </w:r>
      <w:r>
        <w:rPr>
          <w:rFonts w:ascii="Times" w:hAnsi="Times" w:eastAsia="Times" w:cs="Times"/>
          <w:i/>
          <w:iCs/>
          <w:color w:val="auto"/>
          <w:sz w:val="16"/>
          <w:szCs w:val="16"/>
        </w:rPr>
        <w:t xml:space="preserve"> </w:t>
      </w:r>
      <w:r>
        <w:fldChar w:fldCharType="begin"/>
      </w:r>
      <w:r>
        <w:instrText xml:space="preserve"> HYPERLINK "http://dx.doi.org/10.1093/cercor/bhr114" \h </w:instrText>
      </w:r>
      <w:r>
        <w:fldChar w:fldCharType="separate"/>
      </w:r>
      <w:r>
        <w:rPr>
          <w:rFonts w:ascii="Times" w:hAnsi="Times" w:eastAsia="Times" w:cs="Times"/>
          <w:color w:val="00007C"/>
          <w:sz w:val="16"/>
          <w:szCs w:val="16"/>
        </w:rPr>
        <w:t>doi:10.1093/cercor/bhr114</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0" w:lineRule="auto"/>
        <w:ind w:hanging="159"/>
        <w:jc w:val="both"/>
        <w:rPr>
          <w:rFonts w:ascii="Times" w:hAnsi="Times" w:eastAsia="Times" w:cs="Times"/>
          <w:color w:val="00007C"/>
          <w:sz w:val="16"/>
          <w:szCs w:val="16"/>
        </w:rPr>
      </w:pPr>
      <w:r>
        <w:rPr>
          <w:rFonts w:ascii="Times" w:hAnsi="Times" w:eastAsia="Times" w:cs="Times"/>
          <w:color w:val="auto"/>
          <w:sz w:val="16"/>
          <w:szCs w:val="16"/>
        </w:rPr>
        <w:t xml:space="preserve">Frank, M. J., Samanta, J., Moustafa, A. A., &amp; Sherman, S. J. (2007, October 25). Hold your horses: Impulsivity, deep brain stimulation, and medication in Parkinsonism. </w:t>
      </w:r>
      <w:r>
        <w:rPr>
          <w:rFonts w:ascii="Times" w:hAnsi="Times" w:eastAsia="Times" w:cs="Times"/>
          <w:i/>
          <w:iCs/>
          <w:color w:val="auto"/>
          <w:sz w:val="16"/>
          <w:szCs w:val="16"/>
        </w:rPr>
        <w:t>Science, 318,</w:t>
      </w:r>
      <w:r>
        <w:rPr>
          <w:rFonts w:ascii="Times" w:hAnsi="Times" w:eastAsia="Times" w:cs="Times"/>
          <w:color w:val="auto"/>
          <w:sz w:val="16"/>
          <w:szCs w:val="16"/>
        </w:rPr>
        <w:t xml:space="preserve"> 1309 –1312. </w:t>
      </w:r>
      <w:r>
        <w:fldChar w:fldCharType="begin"/>
      </w:r>
      <w:r>
        <w:instrText xml:space="preserve"> HYPERLINK "http://dx.doi.org/10.1126/science.1146157" \h </w:instrText>
      </w:r>
      <w:r>
        <w:fldChar w:fldCharType="separate"/>
      </w:r>
      <w:r>
        <w:rPr>
          <w:rFonts w:ascii="Times" w:hAnsi="Times" w:eastAsia="Times" w:cs="Times"/>
          <w:color w:val="00007C"/>
          <w:sz w:val="16"/>
          <w:szCs w:val="16"/>
        </w:rPr>
        <w:t>doi:10.1126/</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"http://dx.doi.org/10.1126/science.1146157" \h </w:instrText>
      </w:r>
      <w:r>
        <w:fldChar w:fldCharType="separate"/>
      </w:r>
      <w:r>
        <w:rPr>
          <w:rFonts w:ascii="Times" w:hAnsi="Times" w:eastAsia="Times" w:cs="Times"/>
          <w:color w:val="00007C"/>
          <w:sz w:val="16"/>
          <w:szCs w:val="16"/>
        </w:rPr>
        <w:t>science.1146157</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0" w:lineRule="auto"/>
        <w:ind w:hanging="159"/>
        <w:jc w:val="both"/>
        <w:rPr>
          <w:color w:val="auto"/>
          <w:sz w:val="20"/>
          <w:szCs w:val="20"/>
        </w:rPr>
      </w:pPr>
      <w:r>
        <w:rPr>
          <w:rFonts w:ascii="Times" w:hAnsi="Times" w:eastAsia="Times" w:cs="Times"/>
          <w:color w:val="auto"/>
          <w:sz w:val="16"/>
          <w:szCs w:val="16"/>
        </w:rPr>
        <w:t xml:space="preserve">Frank, M. J., Santamaria, A., O’Reilly, R. C., &amp; Willcutt, E. (2007). Testing computational models of dopamine and noradrenaline dysfunc-tion in attention deficit/hyperactivity disorder. </w:t>
      </w:r>
      <w:r>
        <w:rPr>
          <w:rFonts w:ascii="Times" w:hAnsi="Times" w:eastAsia="Times" w:cs="Times"/>
          <w:i/>
          <w:iCs/>
          <w:color w:val="auto"/>
          <w:sz w:val="16"/>
          <w:szCs w:val="16"/>
        </w:rPr>
        <w:t xml:space="preserve">Neuropsychopharmacol-ogy, 32, </w:t>
      </w:r>
      <w:r>
        <w:rPr>
          <w:rFonts w:ascii="Times" w:hAnsi="Times" w:eastAsia="Times" w:cs="Times"/>
          <w:color w:val="auto"/>
          <w:sz w:val="16"/>
          <w:szCs w:val="16"/>
        </w:rPr>
        <w:t>1583–1599.</w:t>
      </w:r>
    </w:p>
    <w:p>
      <w:pPr>
        <w:spacing w:after="0" w:line="14" w:lineRule="exact"/>
        <w:rPr>
          <w:color w:val="auto"/>
          <w:sz w:val="20"/>
          <w:szCs w:val="20"/>
        </w:rPr>
      </w:pPr>
    </w:p>
    <w:p>
      <w:pPr>
        <w:spacing w:after="0" w:line="261" w:lineRule="auto"/>
        <w:ind w:hanging="159"/>
        <w:jc w:val="both"/>
        <w:rPr>
          <w:rFonts w:ascii="Times" w:hAnsi="Times" w:eastAsia="Times" w:cs="Times"/>
          <w:color w:val="00007C"/>
          <w:sz w:val="16"/>
          <w:szCs w:val="16"/>
        </w:rPr>
      </w:pPr>
      <w:r>
        <w:rPr>
          <w:rFonts w:ascii="Times" w:hAnsi="Times" w:eastAsia="Times" w:cs="Times"/>
          <w:color w:val="auto"/>
          <w:sz w:val="16"/>
          <w:szCs w:val="16"/>
        </w:rPr>
        <w:t xml:space="preserve">Frank, M. J., Scheres, A., &amp; Sherman, S. J. (2007). Understanding decision-making deficits in neurological conditions: Insights from mod-els of natural action selection. </w:t>
      </w:r>
      <w:r>
        <w:rPr>
          <w:rFonts w:ascii="Times" w:hAnsi="Times" w:eastAsia="Times" w:cs="Times"/>
          <w:i/>
          <w:iCs/>
          <w:color w:val="auto"/>
          <w:sz w:val="16"/>
          <w:szCs w:val="16"/>
        </w:rPr>
        <w:t>Philosophical Transactions of the Royal</w:t>
      </w:r>
      <w:r>
        <w:rPr>
          <w:rFonts w:ascii="Times" w:hAnsi="Times" w:eastAsia="Times" w:cs="Times"/>
          <w:color w:val="auto"/>
          <w:sz w:val="16"/>
          <w:szCs w:val="16"/>
        </w:rPr>
        <w:t xml:space="preserve"> </w:t>
      </w:r>
      <w:r>
        <w:rPr>
          <w:rFonts w:ascii="Times" w:hAnsi="Times" w:eastAsia="Times" w:cs="Times"/>
          <w:i/>
          <w:iCs/>
          <w:color w:val="auto"/>
          <w:sz w:val="16"/>
          <w:szCs w:val="16"/>
        </w:rPr>
        <w:t xml:space="preserve">Society of London Series B: Biological Sciences, 362, </w:t>
      </w:r>
      <w:r>
        <w:rPr>
          <w:rFonts w:ascii="Times" w:hAnsi="Times" w:eastAsia="Times" w:cs="Times"/>
          <w:color w:val="auto"/>
          <w:sz w:val="16"/>
          <w:szCs w:val="16"/>
        </w:rPr>
        <w:t>1641–1654.</w:t>
      </w:r>
      <w:r>
        <w:rPr>
          <w:rFonts w:ascii="Times" w:hAnsi="Times" w:eastAsia="Times" w:cs="Times"/>
          <w:i/>
          <w:iCs/>
          <w:color w:val="auto"/>
          <w:sz w:val="16"/>
          <w:szCs w:val="16"/>
        </w:rPr>
        <w:t xml:space="preserve"> </w:t>
      </w:r>
      <w:r>
        <w:fldChar w:fldCharType="begin"/>
      </w:r>
      <w:r>
        <w:instrText xml:space="preserve"> HYPERLINK "http://dx.doi.org/10.1098/rstb.2007.2058"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fldChar w:fldCharType="begin"/>
      </w:r>
      <w:r>
        <w:instrText xml:space="preserve"> HYPERLINK "http://dx.doi.org/10.1098/rstb.2007.2058" \h </w:instrText>
      </w:r>
      <w:r>
        <w:fldChar w:fldCharType="separate"/>
      </w:r>
      <w:r>
        <w:rPr>
          <w:rFonts w:ascii="Times" w:hAnsi="Times" w:eastAsia="Times" w:cs="Times"/>
          <w:color w:val="00007C"/>
          <w:sz w:val="16"/>
          <w:szCs w:val="16"/>
        </w:rPr>
        <w:t>10.1098/rstb.2007.2058</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59" w:lineRule="auto"/>
        <w:ind w:hanging="159"/>
        <w:jc w:val="both"/>
        <w:rPr>
          <w:rFonts w:ascii="Times" w:hAnsi="Times" w:eastAsia="Times" w:cs="Times"/>
          <w:i/>
          <w:iCs/>
          <w:color w:val="auto"/>
          <w:sz w:val="16"/>
          <w:szCs w:val="16"/>
        </w:rPr>
      </w:pPr>
      <w:r>
        <w:rPr>
          <w:rFonts w:ascii="Times" w:hAnsi="Times" w:eastAsia="Times" w:cs="Times"/>
          <w:color w:val="auto"/>
          <w:sz w:val="16"/>
          <w:szCs w:val="16"/>
        </w:rPr>
        <w:t xml:space="preserve">Frank, M. J., Seeberger, L. C., &amp; O’Reilly, R. C. (2004, November 4). By carrot or by stick: Cognitive reinforcement learning in Parkinsonism. </w:t>
      </w:r>
      <w:r>
        <w:rPr>
          <w:rFonts w:ascii="Times" w:hAnsi="Times" w:eastAsia="Times" w:cs="Times"/>
          <w:i/>
          <w:iCs/>
          <w:color w:val="auto"/>
          <w:sz w:val="16"/>
          <w:szCs w:val="16"/>
        </w:rPr>
        <w:t xml:space="preserve">Science, 306, </w:t>
      </w:r>
      <w:r>
        <w:rPr>
          <w:rFonts w:ascii="Times" w:hAnsi="Times" w:eastAsia="Times" w:cs="Times"/>
          <w:color w:val="auto"/>
          <w:sz w:val="16"/>
          <w:szCs w:val="16"/>
        </w:rPr>
        <w:t>1940 –1943.</w:t>
      </w:r>
      <w:r>
        <w:rPr>
          <w:rFonts w:ascii="Times" w:hAnsi="Times" w:eastAsia="Times" w:cs="Times"/>
          <w:i/>
          <w:iCs/>
          <w:color w:val="auto"/>
          <w:sz w:val="16"/>
          <w:szCs w:val="16"/>
        </w:rPr>
        <w:t xml:space="preserve"> </w:t>
      </w:r>
      <w:r>
        <w:fldChar w:fldCharType="begin"/>
      </w:r>
      <w:r>
        <w:instrText xml:space="preserve"> HYPERLINK "http://dx.doi.org/10.1126/science.1102941" \h </w:instrText>
      </w:r>
      <w:r>
        <w:fldChar w:fldCharType="separate"/>
      </w:r>
      <w:r>
        <w:rPr>
          <w:rFonts w:ascii="Times" w:hAnsi="Times" w:eastAsia="Times" w:cs="Times"/>
          <w:color w:val="00007C"/>
          <w:sz w:val="16"/>
          <w:szCs w:val="16"/>
        </w:rPr>
        <w:t>doi:10.1126/science.1102941</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59" w:lineRule="auto"/>
        <w:ind w:hanging="159"/>
        <w:jc w:val="both"/>
        <w:rPr>
          <w:rFonts w:ascii="Times" w:hAnsi="Times" w:eastAsia="Times" w:cs="Times"/>
          <w:color w:val="auto"/>
          <w:sz w:val="16"/>
          <w:szCs w:val="16"/>
        </w:rPr>
      </w:pPr>
      <w:r>
        <w:rPr>
          <w:rFonts w:ascii="Times" w:hAnsi="Times" w:eastAsia="Times" w:cs="Times"/>
          <w:color w:val="auto"/>
          <w:sz w:val="16"/>
          <w:szCs w:val="16"/>
        </w:rPr>
        <w:t xml:space="preserve">Funahashi, S., Chafee, M. V., &amp; Goldman-Rakic, P. S. (1993, October 21). Prefrontal neuronal activity in rhesus monkeys performing a delayed anti-saccade task. </w:t>
      </w:r>
      <w:r>
        <w:rPr>
          <w:rFonts w:ascii="Times" w:hAnsi="Times" w:eastAsia="Times" w:cs="Times"/>
          <w:i/>
          <w:iCs/>
          <w:color w:val="auto"/>
          <w:sz w:val="16"/>
          <w:szCs w:val="16"/>
        </w:rPr>
        <w:t>Nature, 365,</w:t>
      </w:r>
      <w:r>
        <w:rPr>
          <w:rFonts w:ascii="Times" w:hAnsi="Times" w:eastAsia="Times" w:cs="Times"/>
          <w:color w:val="auto"/>
          <w:sz w:val="16"/>
          <w:szCs w:val="16"/>
        </w:rPr>
        <w:t xml:space="preserve"> 753–756. </w:t>
      </w:r>
      <w:r>
        <w:fldChar w:fldCharType="begin"/>
      </w:r>
      <w:r>
        <w:instrText xml:space="preserve"> HYPERLINK "http://dx.doi.org/10.1038/365753a0" \h </w:instrText>
      </w:r>
      <w:r>
        <w:fldChar w:fldCharType="separate"/>
      </w:r>
      <w:r>
        <w:rPr>
          <w:rFonts w:ascii="Times" w:hAnsi="Times" w:eastAsia="Times" w:cs="Times"/>
          <w:color w:val="00007C"/>
          <w:sz w:val="16"/>
          <w:szCs w:val="16"/>
        </w:rPr>
        <w:t>doi:10.1038/365753a0</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59" w:lineRule="auto"/>
        <w:ind w:hanging="159"/>
        <w:jc w:val="both"/>
        <w:rPr>
          <w:color w:val="auto"/>
          <w:sz w:val="20"/>
          <w:szCs w:val="20"/>
        </w:rPr>
      </w:pPr>
      <w:r>
        <w:rPr>
          <w:rFonts w:ascii="Times" w:hAnsi="Times" w:eastAsia="Times" w:cs="Times"/>
          <w:color w:val="auto"/>
          <w:sz w:val="16"/>
          <w:szCs w:val="16"/>
        </w:rPr>
        <w:t xml:space="preserve">Garavan, H., Hester, R., Murphy, K., Fassbender, C., &amp; Kelly, C. (2006). Individual differences in the functional neuroanatomy of inhibitory control. </w:t>
      </w:r>
      <w:r>
        <w:rPr>
          <w:rFonts w:ascii="Times" w:hAnsi="Times" w:eastAsia="Times" w:cs="Times"/>
          <w:i/>
          <w:iCs/>
          <w:color w:val="auto"/>
          <w:sz w:val="16"/>
          <w:szCs w:val="16"/>
        </w:rPr>
        <w:t>Brain Research, 1105,</w:t>
      </w:r>
      <w:r>
        <w:rPr>
          <w:rFonts w:ascii="Times" w:hAnsi="Times" w:eastAsia="Times" w:cs="Times"/>
          <w:color w:val="auto"/>
          <w:sz w:val="16"/>
          <w:szCs w:val="16"/>
        </w:rPr>
        <w:t xml:space="preserve"> 130 –142.</w:t>
      </w:r>
    </w:p>
    <w:p>
      <w:pPr>
        <w:spacing w:after="0" w:line="13" w:lineRule="exact"/>
        <w:rPr>
          <w:color w:val="auto"/>
          <w:sz w:val="20"/>
          <w:szCs w:val="20"/>
        </w:rPr>
      </w:pPr>
    </w:p>
    <w:p>
      <w:pPr>
        <w:spacing w:after="0" w:line="258" w:lineRule="auto"/>
        <w:ind w:hanging="159"/>
        <w:jc w:val="both"/>
        <w:rPr>
          <w:color w:val="auto"/>
          <w:sz w:val="20"/>
          <w:szCs w:val="20"/>
        </w:rPr>
      </w:pPr>
      <w:r>
        <w:rPr>
          <w:rFonts w:ascii="Times" w:hAnsi="Times" w:eastAsia="Times" w:cs="Times"/>
          <w:color w:val="auto"/>
          <w:sz w:val="16"/>
          <w:szCs w:val="16"/>
        </w:rPr>
        <w:t xml:space="preserve">Gehring, W. J., Goss, B., Coles, M. G. H., Meyer, D. E., &amp; Donchin, E. (1993). A neural system for error detection and compensation. </w:t>
      </w:r>
      <w:r>
        <w:rPr>
          <w:rFonts w:ascii="Times" w:hAnsi="Times" w:eastAsia="Times" w:cs="Times"/>
          <w:i/>
          <w:iCs/>
          <w:color w:val="auto"/>
          <w:sz w:val="16"/>
          <w:szCs w:val="16"/>
        </w:rPr>
        <w:t xml:space="preserve">Psycho-logical Science, 4, </w:t>
      </w:r>
      <w:r>
        <w:rPr>
          <w:rFonts w:ascii="Times" w:hAnsi="Times" w:eastAsia="Times" w:cs="Times"/>
          <w:color w:val="auto"/>
          <w:sz w:val="16"/>
          <w:szCs w:val="16"/>
        </w:rPr>
        <w:t>385–390.</w:t>
      </w:r>
    </w:p>
    <w:p>
      <w:pPr>
        <w:spacing w:after="0" w:line="14" w:lineRule="exact"/>
        <w:rPr>
          <w:color w:val="auto"/>
          <w:sz w:val="20"/>
          <w:szCs w:val="20"/>
        </w:rPr>
      </w:pPr>
    </w:p>
    <w:p>
      <w:pPr>
        <w:spacing w:after="0" w:line="281" w:lineRule="auto"/>
        <w:ind w:hanging="159"/>
        <w:jc w:val="both"/>
        <w:rPr>
          <w:rFonts w:ascii="Times" w:hAnsi="Times" w:eastAsia="Times" w:cs="Times"/>
          <w:color w:val="00007C"/>
          <w:sz w:val="16"/>
          <w:szCs w:val="16"/>
        </w:rPr>
      </w:pPr>
      <w:r>
        <w:rPr>
          <w:rFonts w:ascii="Times" w:hAnsi="Times" w:eastAsia="Times" w:cs="Times"/>
          <w:color w:val="auto"/>
          <w:sz w:val="15"/>
          <w:szCs w:val="15"/>
        </w:rPr>
        <w:t xml:space="preserve">Goldberg, J. H., Farries, M. A., &amp; Fee, M. S. (2012). Integration of cortical and pallidal inputs in the basal ganglia-recipient thalamus of singing birds. </w:t>
      </w:r>
      <w:r>
        <w:rPr>
          <w:rFonts w:ascii="Times" w:hAnsi="Times" w:eastAsia="Times" w:cs="Times"/>
          <w:i/>
          <w:iCs/>
          <w:color w:val="auto"/>
          <w:sz w:val="15"/>
          <w:szCs w:val="15"/>
        </w:rPr>
        <w:t>Journal of Neurophysiology, 108,</w:t>
      </w:r>
      <w:r>
        <w:rPr>
          <w:rFonts w:ascii="Times" w:hAnsi="Times" w:eastAsia="Times" w:cs="Times"/>
          <w:color w:val="auto"/>
          <w:sz w:val="15"/>
          <w:szCs w:val="15"/>
        </w:rPr>
        <w:t xml:space="preserve"> 1403–1429. </w:t>
      </w:r>
      <w:r>
        <w:fldChar w:fldCharType="begin"/>
      </w:r>
      <w:r>
        <w:instrText xml:space="preserve"> HYPERLINK "http://dx.doi.org/10.1152/jn.00056.2012" \h </w:instrText>
      </w:r>
      <w:r>
        <w:fldChar w:fldCharType="separate"/>
      </w:r>
      <w:r>
        <w:rPr>
          <w:rFonts w:ascii="Times" w:hAnsi="Times" w:eastAsia="Times" w:cs="Times"/>
          <w:color w:val="00007C"/>
          <w:sz w:val="15"/>
          <w:szCs w:val="15"/>
        </w:rPr>
        <w:t>doi:10.1152/jn</w:t>
      </w:r>
      <w:r>
        <w:rPr>
          <w:rFonts w:ascii="Times" w:hAnsi="Times" w:eastAsia="Times" w:cs="Times"/>
          <w:color w:val="00007C"/>
          <w:sz w:val="15"/>
          <w:szCs w:val="15"/>
        </w:rPr>
        <w:fldChar w:fldCharType="end"/>
      </w:r>
      <w:r>
        <w:fldChar w:fldCharType="begin"/>
      </w:r>
      <w:r>
        <w:instrText xml:space="preserve"> HYPERLINK "http://dx.doi.org/10.1152/jn.00056.2012" \h </w:instrText>
      </w:r>
      <w:r>
        <w:fldChar w:fldCharType="separate"/>
      </w:r>
      <w:r>
        <w:rPr>
          <w:rFonts w:ascii="Times" w:hAnsi="Times" w:eastAsia="Times" w:cs="Times"/>
          <w:color w:val="00007C"/>
          <w:sz w:val="16"/>
          <w:szCs w:val="16"/>
        </w:rPr>
        <w:t>.00056.2012</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58" w:lineRule="auto"/>
        <w:ind w:left="160"/>
        <w:rPr>
          <w:rFonts w:ascii="Times" w:hAnsi="Times" w:eastAsia="Times" w:cs="Times"/>
          <w:color w:val="auto"/>
          <w:sz w:val="16"/>
          <w:szCs w:val="16"/>
        </w:rPr>
      </w:pPr>
      <w:r>
        <w:rPr>
          <w:rFonts w:ascii="Times" w:hAnsi="Times" w:eastAsia="Times" w:cs="Times"/>
          <w:color w:val="auto"/>
          <w:sz w:val="16"/>
          <w:szCs w:val="16"/>
        </w:rPr>
        <w:t>Greenhouse, I., Oldenkamp, C. L., Aron, A. R., &amp; Diego, S. (2012). Stopping a response has global or non-global effects on the motor</w:t>
      </w:r>
      <w:r>
        <w:rPr>
          <w:rFonts w:hint="eastAsia" w:ascii="Times" w:hAnsi="Times" w:eastAsia="宋体" w:cs="Times"/>
          <w:color w:val="auto"/>
          <w:sz w:val="16"/>
          <w:szCs w:val="16"/>
          <w:lang w:val="en-US" w:eastAsia="zh-CN"/>
        </w:rPr>
        <w:t xml:space="preserve"> </w:t>
      </w:r>
      <w:r>
        <w:rPr>
          <w:rFonts w:ascii="Times" w:hAnsi="Times" w:eastAsia="Times" w:cs="Times"/>
          <w:color w:val="auto"/>
          <w:sz w:val="16"/>
          <w:szCs w:val="16"/>
        </w:rPr>
        <w:t xml:space="preserve">system depending on preparation. </w:t>
      </w:r>
      <w:r>
        <w:rPr>
          <w:rFonts w:ascii="Times" w:hAnsi="Times" w:eastAsia="Times" w:cs="Times"/>
          <w:i/>
          <w:iCs/>
          <w:color w:val="auto"/>
          <w:sz w:val="16"/>
          <w:szCs w:val="16"/>
        </w:rPr>
        <w:t>Journal of Neurophysiology, 107,</w:t>
      </w:r>
      <w:r>
        <w:rPr>
          <w:rFonts w:ascii="Times" w:hAnsi="Times" w:eastAsia="Times" w:cs="Times"/>
          <w:color w:val="auto"/>
          <w:sz w:val="16"/>
          <w:szCs w:val="16"/>
        </w:rPr>
        <w:t xml:space="preserve"> 384 –392. </w:t>
      </w:r>
      <w:r>
        <w:fldChar w:fldCharType="begin"/>
      </w:r>
      <w:r>
        <w:instrText xml:space="preserve"> HYPERLINK "http://dx.doi.org/10.1152/jn.00704.2011" \h </w:instrText>
      </w:r>
      <w:r>
        <w:fldChar w:fldCharType="separate"/>
      </w:r>
      <w:r>
        <w:rPr>
          <w:rFonts w:ascii="Times" w:hAnsi="Times" w:eastAsia="Times" w:cs="Times"/>
          <w:color w:val="00007C"/>
          <w:sz w:val="16"/>
          <w:szCs w:val="16"/>
        </w:rPr>
        <w:t>doi:10.1152/jn.00704.2011</w:t>
      </w:r>
      <w:r>
        <w:rPr>
          <w:rFonts w:ascii="Times" w:hAnsi="Times" w:eastAsia="Times" w:cs="Times"/>
          <w:color w:val="00007C"/>
          <w:sz w:val="16"/>
          <w:szCs w:val="16"/>
        </w:rPr>
        <w:fldChar w:fldCharType="end"/>
      </w:r>
    </w:p>
    <w:p>
      <w:pPr>
        <w:spacing w:after="0" w:line="17"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Gurney, K., Prescott, T. J., &amp; Redgrave, P. (2001). A computational model of action selection in the basal ganglia: I. A new functional anatomy. </w:t>
      </w:r>
      <w:r>
        <w:rPr>
          <w:rFonts w:ascii="Times" w:hAnsi="Times" w:eastAsia="Times" w:cs="Times"/>
          <w:i/>
          <w:iCs/>
          <w:color w:val="auto"/>
          <w:sz w:val="16"/>
          <w:szCs w:val="16"/>
        </w:rPr>
        <w:t xml:space="preserve">Biological Cybernetics, 84, </w:t>
      </w:r>
      <w:r>
        <w:rPr>
          <w:rFonts w:ascii="Times" w:hAnsi="Times" w:eastAsia="Times" w:cs="Times"/>
          <w:color w:val="auto"/>
          <w:sz w:val="16"/>
          <w:szCs w:val="16"/>
        </w:rPr>
        <w:t>401– 410.</w:t>
      </w:r>
      <w:r>
        <w:rPr>
          <w:rFonts w:ascii="Times" w:hAnsi="Times" w:eastAsia="Times" w:cs="Times"/>
          <w:i/>
          <w:iCs/>
          <w:color w:val="auto"/>
          <w:sz w:val="16"/>
          <w:szCs w:val="16"/>
        </w:rPr>
        <w:t xml:space="preserve"> </w:t>
      </w:r>
      <w:r>
        <w:fldChar w:fldCharType="begin"/>
      </w:r>
      <w:r>
        <w:instrText xml:space="preserve"> HYPERLINK "http://dx.doi.org/10.1007/PL00007984" \h </w:instrText>
      </w:r>
      <w:r>
        <w:fldChar w:fldCharType="separate"/>
      </w:r>
      <w:r>
        <w:rPr>
          <w:rFonts w:ascii="Times" w:hAnsi="Times" w:eastAsia="Times" w:cs="Times"/>
          <w:color w:val="00007C"/>
          <w:sz w:val="16"/>
          <w:szCs w:val="16"/>
        </w:rPr>
        <w:t>doi:10.1007/PL00007984</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3"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Haber, S. N. (2003). The primate basal ganglia: Parallel and integrative networks. </w:t>
      </w:r>
      <w:r>
        <w:rPr>
          <w:rFonts w:ascii="Times" w:hAnsi="Times" w:eastAsia="Times" w:cs="Times"/>
          <w:i/>
          <w:iCs/>
          <w:color w:val="auto"/>
          <w:sz w:val="16"/>
          <w:szCs w:val="16"/>
        </w:rPr>
        <w:t>Journal of Chemical Neuroanatomy, 26,</w:t>
      </w:r>
      <w:r>
        <w:rPr>
          <w:rFonts w:ascii="Times" w:hAnsi="Times" w:eastAsia="Times" w:cs="Times"/>
          <w:color w:val="auto"/>
          <w:sz w:val="16"/>
          <w:szCs w:val="16"/>
        </w:rPr>
        <w:t xml:space="preserve"> 317–330. </w:t>
      </w:r>
      <w:r>
        <w:fldChar w:fldCharType="begin"/>
      </w:r>
      <w:r>
        <w:instrText xml:space="preserve"> HYPERLINK "http://dx.doi.org/10.1016/j.jchemneu.2003.10.003"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"http://dx.doi.org/10.1016/j.jchemneu.2003.10.003" \h </w:instrText>
      </w:r>
      <w:r>
        <w:fldChar w:fldCharType="separate"/>
      </w:r>
      <w:r>
        <w:rPr>
          <w:rFonts w:ascii="Times" w:hAnsi="Times" w:eastAsia="Times" w:cs="Times"/>
          <w:color w:val="00007C"/>
          <w:sz w:val="16"/>
          <w:szCs w:val="16"/>
        </w:rPr>
        <w:t>10.1016/j.jchemneu.2003.10.003</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8" w:lineRule="auto"/>
        <w:ind w:left="160" w:hanging="159"/>
        <w:jc w:val="both"/>
        <w:rPr>
          <w:color w:val="auto"/>
          <w:sz w:val="20"/>
          <w:szCs w:val="20"/>
        </w:rPr>
      </w:pPr>
      <w:r>
        <w:rPr>
          <w:rFonts w:ascii="Times" w:hAnsi="Times" w:eastAsia="Times" w:cs="Times"/>
          <w:color w:val="auto"/>
          <w:sz w:val="16"/>
          <w:szCs w:val="16"/>
        </w:rPr>
        <w:t xml:space="preserve">Hallett, P. E. (1978). Primary and secondary saccades to goals defined by instructions. </w:t>
      </w:r>
      <w:r>
        <w:rPr>
          <w:rFonts w:ascii="Times" w:hAnsi="Times" w:eastAsia="Times" w:cs="Times"/>
          <w:i/>
          <w:iCs/>
          <w:color w:val="auto"/>
          <w:sz w:val="16"/>
          <w:szCs w:val="16"/>
        </w:rPr>
        <w:t>Vision Research, 18,</w:t>
      </w:r>
      <w:r>
        <w:rPr>
          <w:rFonts w:ascii="Times" w:hAnsi="Times" w:eastAsia="Times" w:cs="Times"/>
          <w:color w:val="auto"/>
          <w:sz w:val="16"/>
          <w:szCs w:val="16"/>
        </w:rPr>
        <w:t xml:space="preserve"> 1279 –1296.</w:t>
      </w:r>
    </w:p>
    <w:p>
      <w:pPr>
        <w:spacing w:after="0" w:line="17" w:lineRule="exact"/>
        <w:rPr>
          <w:color w:val="auto"/>
          <w:sz w:val="20"/>
          <w:szCs w:val="20"/>
        </w:rPr>
      </w:pPr>
    </w:p>
    <w:p>
      <w:pPr>
        <w:spacing w:after="0" w:line="263"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Hampshire, A., Chamberlain, S. R., Monti, M. M., Duncan, J., &amp; Owen, A. M. (2010). The role of the right inferior frontal gyrus: Inhibition and attentional control. </w:t>
      </w:r>
      <w:r>
        <w:rPr>
          <w:rFonts w:ascii="Times" w:hAnsi="Times" w:eastAsia="Times" w:cs="Times"/>
          <w:i/>
          <w:iCs/>
          <w:color w:val="auto"/>
          <w:sz w:val="16"/>
          <w:szCs w:val="16"/>
        </w:rPr>
        <w:t>NeuroImage, 50,</w:t>
      </w:r>
      <w:r>
        <w:rPr>
          <w:rFonts w:ascii="Times" w:hAnsi="Times" w:eastAsia="Times" w:cs="Times"/>
          <w:color w:val="auto"/>
          <w:sz w:val="16"/>
          <w:szCs w:val="16"/>
        </w:rPr>
        <w:t xml:space="preserve"> 1313–1319. </w:t>
      </w:r>
      <w:r>
        <w:fldChar w:fldCharType="begin"/>
      </w:r>
      <w:r>
        <w:instrText xml:space="preserve"> HYPERLINK "http://dx.doi.org/10.1016/j.neuroimage.2009.12.109" \h </w:instrText>
      </w:r>
      <w:r>
        <w:fldChar w:fldCharType="separate"/>
      </w:r>
      <w:r>
        <w:rPr>
          <w:rFonts w:ascii="Times" w:hAnsi="Times" w:eastAsia="Times" w:cs="Times"/>
          <w:color w:val="00007C"/>
          <w:sz w:val="16"/>
          <w:szCs w:val="16"/>
        </w:rPr>
        <w:t>doi:10.1016/j</w:t>
      </w:r>
      <w:r>
        <w:rPr>
          <w:rFonts w:ascii="Times" w:hAnsi="Times" w:eastAsia="Times" w:cs="Times"/>
          <w:color w:val="00007C"/>
          <w:sz w:val="16"/>
          <w:szCs w:val="16"/>
        </w:rPr>
        <w:fldChar w:fldCharType="end"/>
      </w:r>
    </w:p>
    <w:p>
      <w:pPr>
        <w:spacing w:after="0" w:line="5"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"http://dx.doi.org/10.1016/j.neuroimage.2009.12.109" \h </w:instrText>
      </w:r>
      <w:r>
        <w:fldChar w:fldCharType="separate"/>
      </w:r>
      <w:r>
        <w:rPr>
          <w:rFonts w:ascii="Times" w:hAnsi="Times" w:eastAsia="Times" w:cs="Times"/>
          <w:color w:val="00007C"/>
          <w:sz w:val="16"/>
          <w:szCs w:val="16"/>
        </w:rPr>
        <w:t>.neuroimage.2009.12.109</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265" w:lineRule="auto"/>
        <w:ind w:left="160" w:hanging="159"/>
        <w:jc w:val="both"/>
        <w:rPr>
          <w:color w:val="auto"/>
          <w:sz w:val="20"/>
          <w:szCs w:val="20"/>
        </w:rPr>
      </w:pPr>
      <w:r>
        <w:rPr>
          <w:rFonts w:ascii="Times" w:hAnsi="Times" w:eastAsia="Times" w:cs="Times"/>
          <w:color w:val="auto"/>
          <w:sz w:val="16"/>
          <w:szCs w:val="16"/>
        </w:rPr>
        <w:t xml:space="preserve">Harden, D. G., &amp; Grace, A. A. (1995). Activation of dopamine cell firing by repeated L-DOPA administration to dopamine-depleted rats: Its po-tential role in mediating the therapeutic response to L-DOPA treatment. </w:t>
      </w:r>
      <w:r>
        <w:rPr>
          <w:rFonts w:ascii="Times" w:hAnsi="Times" w:eastAsia="Times" w:cs="Times"/>
          <w:i/>
          <w:iCs/>
          <w:color w:val="auto"/>
          <w:sz w:val="16"/>
          <w:szCs w:val="16"/>
        </w:rPr>
        <w:t xml:space="preserve">The Journal of Neuroscience, 15, </w:t>
      </w:r>
      <w:r>
        <w:rPr>
          <w:rFonts w:ascii="Times" w:hAnsi="Times" w:eastAsia="Times" w:cs="Times"/>
          <w:color w:val="auto"/>
          <w:sz w:val="16"/>
          <w:szCs w:val="16"/>
        </w:rPr>
        <w:t>6157– 6166.</w:t>
      </w:r>
    </w:p>
    <w:p>
      <w:pPr>
        <w:spacing w:after="0" w:line="11"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Harris, M. S., Reilly, J. L., Keshavan, M. S., &amp; Sweeney, J. A. (2006). Longitudinal studies of antisaccades in antipsychotic-naive first-episode schizophrenia. </w:t>
      </w:r>
      <w:r>
        <w:rPr>
          <w:rFonts w:ascii="Times" w:hAnsi="Times" w:eastAsia="Times" w:cs="Times"/>
          <w:i/>
          <w:iCs/>
          <w:color w:val="auto"/>
          <w:sz w:val="16"/>
          <w:szCs w:val="16"/>
        </w:rPr>
        <w:t>Psychological Medicine, 36,</w:t>
      </w:r>
      <w:r>
        <w:rPr>
          <w:rFonts w:ascii="Times" w:hAnsi="Times" w:eastAsia="Times" w:cs="Times"/>
          <w:color w:val="auto"/>
          <w:sz w:val="16"/>
          <w:szCs w:val="16"/>
        </w:rPr>
        <w:t xml:space="preserve"> 485– 494. </w:t>
      </w:r>
      <w:r>
        <w:fldChar w:fldCharType="begin"/>
      </w:r>
      <w:r>
        <w:instrText xml:space="preserve"> HYPERLINK "http://dx.doi.org/10.1017/S0033291705006756" \h </w:instrText>
      </w:r>
      <w:r>
        <w:fldChar w:fldCharType="separate"/>
      </w:r>
      <w:r>
        <w:rPr>
          <w:rFonts w:ascii="Times" w:hAnsi="Times" w:eastAsia="Times" w:cs="Times"/>
          <w:color w:val="00007C"/>
          <w:sz w:val="16"/>
          <w:szCs w:val="16"/>
        </w:rPr>
        <w:t>doi:10.1017/</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"http://dx.doi.org/10.1017/S0033291705006756" \h </w:instrText>
      </w:r>
      <w:r>
        <w:fldChar w:fldCharType="separate"/>
      </w:r>
      <w:r>
        <w:rPr>
          <w:rFonts w:ascii="Times" w:hAnsi="Times" w:eastAsia="Times" w:cs="Times"/>
          <w:color w:val="00007C"/>
          <w:sz w:val="16"/>
          <w:szCs w:val="16"/>
        </w:rPr>
        <w:t>S0033291705006756</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Hess, W., Bürgi, S., &amp; Bucher, V. (1946). Motorische Funktion des Tectal-und Tegmentalgebietes [Motor function of the tectal and tegmental area]. </w:t>
      </w:r>
      <w:r>
        <w:rPr>
          <w:rFonts w:ascii="Times" w:hAnsi="Times" w:eastAsia="Times" w:cs="Times"/>
          <w:i/>
          <w:iCs/>
          <w:color w:val="auto"/>
          <w:sz w:val="16"/>
          <w:szCs w:val="16"/>
        </w:rPr>
        <w:t>Monatsschrift für Psychiatrie und Neurologie, 112,</w:t>
      </w:r>
      <w:r>
        <w:rPr>
          <w:rFonts w:ascii="Times" w:hAnsi="Times" w:eastAsia="Times" w:cs="Times"/>
          <w:color w:val="auto"/>
          <w:sz w:val="16"/>
          <w:szCs w:val="16"/>
        </w:rPr>
        <w:t xml:space="preserve"> 1–26. </w:t>
      </w:r>
      <w:r>
        <w:fldChar w:fldCharType="begin"/>
      </w:r>
      <w:r>
        <w:instrText xml:space="preserve"> HYPERLINK "http://dx.doi.org/10.1159/000148295"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"http://dx.doi.org/10.1159/000148295" \h </w:instrText>
      </w:r>
      <w:r>
        <w:fldChar w:fldCharType="separate"/>
      </w:r>
      <w:r>
        <w:rPr>
          <w:rFonts w:ascii="Times" w:hAnsi="Times" w:eastAsia="Times" w:cs="Times"/>
          <w:color w:val="00007C"/>
          <w:sz w:val="16"/>
          <w:szCs w:val="16"/>
        </w:rPr>
        <w:t>10.1159/000148295</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Hikida, T., Kimura, K., Wada, N., Funabiki, K., &amp; Nakanishi, S. (2010). Distinct roles of synaptic transmission in direct and indirect striatal pathways to reward and aversive behavior. </w:t>
      </w:r>
      <w:r>
        <w:rPr>
          <w:rFonts w:ascii="Times" w:hAnsi="Times" w:eastAsia="Times" w:cs="Times"/>
          <w:i/>
          <w:iCs/>
          <w:color w:val="auto"/>
          <w:sz w:val="16"/>
          <w:szCs w:val="16"/>
        </w:rPr>
        <w:t>Neuron, 66,</w:t>
      </w:r>
      <w:r>
        <w:rPr>
          <w:rFonts w:ascii="Times" w:hAnsi="Times" w:eastAsia="Times" w:cs="Times"/>
          <w:color w:val="auto"/>
          <w:sz w:val="16"/>
          <w:szCs w:val="16"/>
        </w:rPr>
        <w:t xml:space="preserve"> 896 –907. </w:t>
      </w:r>
      <w:r>
        <w:fldChar w:fldCharType="begin"/>
      </w:r>
      <w:r>
        <w:instrText xml:space="preserve"> HYPERLINK "http://dx.doi.org/10.1016/j.neuron.2010.05.011"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"http://dx.doi.org/10.1016/j.neuron.2010.05.011" \h </w:instrText>
      </w:r>
      <w:r>
        <w:fldChar w:fldCharType="separate"/>
      </w:r>
      <w:r>
        <w:rPr>
          <w:rFonts w:ascii="Times" w:hAnsi="Times" w:eastAsia="Times" w:cs="Times"/>
          <w:color w:val="00007C"/>
          <w:sz w:val="16"/>
          <w:szCs w:val="16"/>
        </w:rPr>
        <w:t>10.1016/j.neuron.2010.05.011</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Hikosaka, O. (1989). Role of basal ganglia in initiation of voluntary movements. In M. A. Arbib &amp; S. Amari (Eds.), </w:t>
      </w:r>
      <w:r>
        <w:rPr>
          <w:rFonts w:ascii="Times" w:hAnsi="Times" w:eastAsia="Times" w:cs="Times"/>
          <w:i/>
          <w:iCs/>
          <w:color w:val="auto"/>
          <w:sz w:val="16"/>
          <w:szCs w:val="16"/>
        </w:rPr>
        <w:t>Dynamic interactions in</w:t>
      </w:r>
      <w:r>
        <w:rPr>
          <w:rFonts w:ascii="Times" w:hAnsi="Times" w:eastAsia="Times" w:cs="Times"/>
          <w:color w:val="auto"/>
          <w:sz w:val="16"/>
          <w:szCs w:val="16"/>
        </w:rPr>
        <w:t xml:space="preserve"> </w:t>
      </w:r>
      <w:r>
        <w:rPr>
          <w:rFonts w:ascii="Times" w:hAnsi="Times" w:eastAsia="Times" w:cs="Times"/>
          <w:i/>
          <w:iCs/>
          <w:color w:val="auto"/>
          <w:sz w:val="16"/>
          <w:szCs w:val="16"/>
        </w:rPr>
        <w:t xml:space="preserve">neural networks: Models and data </w:t>
      </w:r>
      <w:r>
        <w:rPr>
          <w:rFonts w:ascii="Times" w:hAnsi="Times" w:eastAsia="Times" w:cs="Times"/>
          <w:color w:val="auto"/>
          <w:sz w:val="16"/>
          <w:szCs w:val="16"/>
        </w:rPr>
        <w:t>(pp. 153–167).</w:t>
      </w:r>
      <w:r>
        <w:rPr>
          <w:rFonts w:ascii="Times" w:hAnsi="Times" w:eastAsia="Times" w:cs="Times"/>
          <w:i/>
          <w:iCs/>
          <w:color w:val="auto"/>
          <w:sz w:val="16"/>
          <w:szCs w:val="16"/>
        </w:rPr>
        <w:t xml:space="preserve"> </w:t>
      </w:r>
      <w:r>
        <w:fldChar w:fldCharType="begin"/>
      </w:r>
      <w:r>
        <w:instrText xml:space="preserve"> HYPERLINK "http://dx.doi.org/10.1007/978-1-4612-4536-0_9" \h </w:instrText>
      </w:r>
      <w:r>
        <w:fldChar w:fldCharType="separate"/>
      </w:r>
      <w:r>
        <w:rPr>
          <w:rFonts w:ascii="Times" w:hAnsi="Times" w:eastAsia="Times" w:cs="Times"/>
          <w:color w:val="00007C"/>
          <w:sz w:val="16"/>
          <w:szCs w:val="16"/>
        </w:rPr>
        <w:t>doi:10.1007/978-1-</w:t>
      </w:r>
      <w:r>
        <w:rPr>
          <w:rFonts w:ascii="Times" w:hAnsi="Times" w:eastAsia="Times" w:cs="Times"/>
          <w:color w:val="00007C"/>
          <w:sz w:val="16"/>
          <w:szCs w:val="16"/>
        </w:rPr>
        <w:fldChar w:fldCharType="end"/>
      </w:r>
      <w:r>
        <w:fldChar w:fldCharType="begin"/>
      </w:r>
      <w:r>
        <w:instrText xml:space="preserve"> HYPERLINK "http://dx.doi.org/10.1007/978-1-4612-4536-0_9" \h </w:instrText>
      </w:r>
      <w:r>
        <w:fldChar w:fldCharType="separate"/>
      </w:r>
      <w:r>
        <w:rPr>
          <w:rFonts w:ascii="Times" w:hAnsi="Times" w:eastAsia="Times" w:cs="Times"/>
          <w:color w:val="00007C"/>
          <w:sz w:val="16"/>
          <w:szCs w:val="16"/>
        </w:rPr>
        <w:t>4612-4536-0_9</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57" w:lineRule="auto"/>
        <w:ind w:left="160" w:hanging="159"/>
        <w:jc w:val="both"/>
        <w:rPr>
          <w:color w:val="auto"/>
          <w:sz w:val="20"/>
          <w:szCs w:val="20"/>
        </w:rPr>
      </w:pPr>
      <w:r>
        <w:rPr>
          <w:rFonts w:ascii="Times" w:hAnsi="Times" w:eastAsia="Times" w:cs="Times"/>
          <w:color w:val="auto"/>
          <w:sz w:val="16"/>
          <w:szCs w:val="16"/>
        </w:rPr>
        <w:t xml:space="preserve">Hikosaka, O. (2007). GABAergic output of the basal ganglia. </w:t>
      </w:r>
      <w:r>
        <w:rPr>
          <w:rFonts w:ascii="Times" w:hAnsi="Times" w:eastAsia="Times" w:cs="Times"/>
          <w:i/>
          <w:iCs/>
          <w:color w:val="auto"/>
          <w:sz w:val="16"/>
          <w:szCs w:val="16"/>
        </w:rPr>
        <w:t>Progress in</w:t>
      </w:r>
      <w:r>
        <w:rPr>
          <w:rFonts w:ascii="Times" w:hAnsi="Times" w:eastAsia="Times" w:cs="Times"/>
          <w:color w:val="auto"/>
          <w:sz w:val="16"/>
          <w:szCs w:val="16"/>
        </w:rPr>
        <w:t xml:space="preserve"> </w:t>
      </w:r>
      <w:r>
        <w:rPr>
          <w:rFonts w:ascii="Times" w:hAnsi="Times" w:eastAsia="Times" w:cs="Times"/>
          <w:i/>
          <w:iCs/>
          <w:color w:val="auto"/>
          <w:sz w:val="16"/>
          <w:szCs w:val="16"/>
        </w:rPr>
        <w:t xml:space="preserve">Brain Research, 160, </w:t>
      </w:r>
      <w:r>
        <w:rPr>
          <w:rFonts w:ascii="Times" w:hAnsi="Times" w:eastAsia="Times" w:cs="Times"/>
          <w:color w:val="auto"/>
          <w:sz w:val="16"/>
          <w:szCs w:val="16"/>
        </w:rPr>
        <w:t>209 –226.</w:t>
      </w:r>
    </w:p>
    <w:p>
      <w:pPr>
        <w:spacing w:after="0" w:line="18"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Hikosaka, O., &amp; Isoda, M. (2008). Brain mechanisms for switching from automatic to controlled eye movements. </w:t>
      </w:r>
      <w:r>
        <w:rPr>
          <w:rFonts w:ascii="Times" w:hAnsi="Times" w:eastAsia="Times" w:cs="Times"/>
          <w:i/>
          <w:iCs/>
          <w:color w:val="auto"/>
          <w:sz w:val="16"/>
          <w:szCs w:val="16"/>
        </w:rPr>
        <w:t>Progress in Brain Research,</w:t>
      </w:r>
      <w:r>
        <w:rPr>
          <w:rFonts w:ascii="Times" w:hAnsi="Times" w:eastAsia="Times" w:cs="Times"/>
          <w:color w:val="auto"/>
          <w:sz w:val="16"/>
          <w:szCs w:val="16"/>
        </w:rPr>
        <w:t xml:space="preserve"> </w:t>
      </w:r>
      <w:r>
        <w:rPr>
          <w:rFonts w:ascii="Times" w:hAnsi="Times" w:eastAsia="Times" w:cs="Times"/>
          <w:i/>
          <w:iCs/>
          <w:color w:val="auto"/>
          <w:sz w:val="16"/>
          <w:szCs w:val="16"/>
        </w:rPr>
        <w:t xml:space="preserve">171, </w:t>
      </w:r>
      <w:r>
        <w:rPr>
          <w:rFonts w:ascii="Times" w:hAnsi="Times" w:eastAsia="Times" w:cs="Times"/>
          <w:color w:val="auto"/>
          <w:sz w:val="16"/>
          <w:szCs w:val="16"/>
        </w:rPr>
        <w:t>375–382.</w:t>
      </w:r>
      <w:r>
        <w:rPr>
          <w:rFonts w:ascii="Times" w:hAnsi="Times" w:eastAsia="Times" w:cs="Times"/>
          <w:i/>
          <w:iCs/>
          <w:color w:val="auto"/>
          <w:sz w:val="16"/>
          <w:szCs w:val="16"/>
        </w:rPr>
        <w:t xml:space="preserve"> </w:t>
      </w:r>
      <w:r>
        <w:fldChar w:fldCharType="begin"/>
      </w:r>
      <w:r>
        <w:instrText xml:space="preserve"> HYPERLINK "http://dx.doi.org/10.1016/S0079-6123%2808%2900655-9" \h </w:instrText>
      </w:r>
      <w:r>
        <w:fldChar w:fldCharType="separate"/>
      </w:r>
      <w:r>
        <w:rPr>
          <w:rFonts w:ascii="Times" w:hAnsi="Times" w:eastAsia="Times" w:cs="Times"/>
          <w:color w:val="00007C"/>
          <w:sz w:val="16"/>
          <w:szCs w:val="16"/>
        </w:rPr>
        <w:t>doi:10.1016/S0079-6123(08)00655-9</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3"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Hikosaka, O., Nakamura, K., &amp; Nakahara, H. (2006). Basal ganglia orient eyes to reward. </w:t>
      </w:r>
      <w:r>
        <w:rPr>
          <w:rFonts w:ascii="Times" w:hAnsi="Times" w:eastAsia="Times" w:cs="Times"/>
          <w:i/>
          <w:iCs/>
          <w:color w:val="auto"/>
          <w:sz w:val="16"/>
          <w:szCs w:val="16"/>
        </w:rPr>
        <w:t>Journal of Neurophysiology, 95,</w:t>
      </w:r>
      <w:r>
        <w:rPr>
          <w:rFonts w:ascii="Times" w:hAnsi="Times" w:eastAsia="Times" w:cs="Times"/>
          <w:color w:val="auto"/>
          <w:sz w:val="16"/>
          <w:szCs w:val="16"/>
        </w:rPr>
        <w:t xml:space="preserve"> 567–584. </w:t>
      </w:r>
      <w:r>
        <w:fldChar w:fldCharType="begin"/>
      </w:r>
      <w:r>
        <w:instrText xml:space="preserve"> HYPERLINK "http://dx.doi.org/10.1152/jn.00458.2005" \h </w:instrText>
      </w:r>
      <w:r>
        <w:fldChar w:fldCharType="separate"/>
      </w:r>
      <w:r>
        <w:rPr>
          <w:rFonts w:ascii="Times" w:hAnsi="Times" w:eastAsia="Times" w:cs="Times"/>
          <w:color w:val="00007C"/>
          <w:sz w:val="16"/>
          <w:szCs w:val="16"/>
        </w:rPr>
        <w:t>doi:10.1152/</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"http://dx.doi.org/10.1152/jn.00458.2005" \h </w:instrText>
      </w:r>
      <w:r>
        <w:fldChar w:fldCharType="separate"/>
      </w:r>
      <w:r>
        <w:rPr>
          <w:rFonts w:ascii="Times" w:hAnsi="Times" w:eastAsia="Times" w:cs="Times"/>
          <w:color w:val="00007C"/>
          <w:sz w:val="16"/>
          <w:szCs w:val="16"/>
        </w:rPr>
        <w:t>jn.00458.2005</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3" w:lineRule="auto"/>
        <w:ind w:left="160" w:hanging="159"/>
        <w:jc w:val="both"/>
        <w:rPr>
          <w:color w:val="auto"/>
          <w:sz w:val="20"/>
          <w:szCs w:val="20"/>
        </w:rPr>
      </w:pPr>
      <w:r>
        <w:rPr>
          <w:rFonts w:ascii="Times" w:hAnsi="Times" w:eastAsia="Times" w:cs="Times"/>
          <w:color w:val="auto"/>
          <w:sz w:val="16"/>
          <w:szCs w:val="16"/>
        </w:rPr>
        <w:t xml:space="preserve">Hikosaka, O., Takikawa, Y., &amp; Kawagoe, R. (2000). Role of the basal ganglia in the control of purposive saccadic eye movements. </w:t>
      </w:r>
      <w:r>
        <w:rPr>
          <w:rFonts w:ascii="Times" w:hAnsi="Times" w:eastAsia="Times" w:cs="Times"/>
          <w:i/>
          <w:iCs/>
          <w:color w:val="auto"/>
          <w:sz w:val="16"/>
          <w:szCs w:val="16"/>
        </w:rPr>
        <w:t xml:space="preserve">Physiolog-ical Reviews, 80, </w:t>
      </w:r>
      <w:r>
        <w:rPr>
          <w:rFonts w:ascii="Times" w:hAnsi="Times" w:eastAsia="Times" w:cs="Times"/>
          <w:color w:val="auto"/>
          <w:sz w:val="16"/>
          <w:szCs w:val="16"/>
        </w:rPr>
        <w:t>953–978.</w:t>
      </w:r>
    </w:p>
    <w:p>
      <w:pPr>
        <w:spacing w:after="0" w:line="13" w:lineRule="exact"/>
        <w:rPr>
          <w:color w:val="auto"/>
          <w:sz w:val="20"/>
          <w:szCs w:val="20"/>
        </w:rPr>
      </w:pPr>
    </w:p>
    <w:p>
      <w:pPr>
        <w:spacing w:after="0" w:line="263" w:lineRule="auto"/>
        <w:ind w:left="160" w:hanging="159"/>
        <w:jc w:val="both"/>
        <w:rPr>
          <w:color w:val="auto"/>
          <w:sz w:val="20"/>
          <w:szCs w:val="20"/>
        </w:rPr>
      </w:pPr>
      <w:r>
        <w:rPr>
          <w:rFonts w:ascii="Times" w:hAnsi="Times" w:eastAsia="Times" w:cs="Times"/>
          <w:color w:val="auto"/>
          <w:sz w:val="16"/>
          <w:szCs w:val="16"/>
        </w:rPr>
        <w:t xml:space="preserve">Hikosaka, O., &amp; Wurtz, R. H. (1986). Saccadic eye movements following injection of lidocaine into the superior colliculus. </w:t>
      </w:r>
      <w:r>
        <w:rPr>
          <w:rFonts w:ascii="Times" w:hAnsi="Times" w:eastAsia="Times" w:cs="Times"/>
          <w:i/>
          <w:iCs/>
          <w:color w:val="auto"/>
          <w:sz w:val="16"/>
          <w:szCs w:val="16"/>
        </w:rPr>
        <w:t>Experimental Brain</w:t>
      </w:r>
      <w:r>
        <w:rPr>
          <w:rFonts w:ascii="Times" w:hAnsi="Times" w:eastAsia="Times" w:cs="Times"/>
          <w:color w:val="auto"/>
          <w:sz w:val="16"/>
          <w:szCs w:val="16"/>
        </w:rPr>
        <w:t xml:space="preserve"> </w:t>
      </w:r>
      <w:r>
        <w:rPr>
          <w:rFonts w:ascii="Times" w:hAnsi="Times" w:eastAsia="Times" w:cs="Times"/>
          <w:i/>
          <w:iCs/>
          <w:color w:val="auto"/>
          <w:sz w:val="16"/>
          <w:szCs w:val="16"/>
        </w:rPr>
        <w:t xml:space="preserve">Research, 61, </w:t>
      </w:r>
      <w:r>
        <w:rPr>
          <w:rFonts w:ascii="Times" w:hAnsi="Times" w:eastAsia="Times" w:cs="Times"/>
          <w:color w:val="auto"/>
          <w:sz w:val="16"/>
          <w:szCs w:val="16"/>
        </w:rPr>
        <w:t>531–539.</w:t>
      </w:r>
    </w:p>
    <w:p>
      <w:pPr>
        <w:spacing w:after="0" w:line="13"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Holroyd, C. B., &amp; Coles, M. G. H. (2002). The neural basis of human error processing: Reinforcement learning, dopamine, and the error-related negativity. </w:t>
      </w:r>
      <w:r>
        <w:rPr>
          <w:rFonts w:ascii="Times" w:hAnsi="Times" w:eastAsia="Times" w:cs="Times"/>
          <w:i/>
          <w:iCs/>
          <w:color w:val="auto"/>
          <w:sz w:val="16"/>
          <w:szCs w:val="16"/>
        </w:rPr>
        <w:t>Psychological Review, 109,</w:t>
      </w:r>
      <w:r>
        <w:rPr>
          <w:rFonts w:ascii="Times" w:hAnsi="Times" w:eastAsia="Times" w:cs="Times"/>
          <w:color w:val="auto"/>
          <w:sz w:val="16"/>
          <w:szCs w:val="16"/>
        </w:rPr>
        <w:t xml:space="preserve"> 679 –709. </w:t>
      </w:r>
      <w:r>
        <w:fldChar w:fldCharType="begin"/>
      </w:r>
      <w:r>
        <w:instrText xml:space="preserve"> HYPERLINK "http://dx.doi.org/10.1037/0033-295X.109.4.679" \h </w:instrText>
      </w:r>
      <w:r>
        <w:fldChar w:fldCharType="separate"/>
      </w:r>
      <w:r>
        <w:rPr>
          <w:rFonts w:ascii="Times" w:hAnsi="Times" w:eastAsia="Times" w:cs="Times"/>
          <w:color w:val="00007C"/>
          <w:sz w:val="16"/>
          <w:szCs w:val="16"/>
        </w:rPr>
        <w:t>doi:10.1037/0033-</w:t>
      </w:r>
      <w:r>
        <w:rPr>
          <w:rFonts w:ascii="Times" w:hAnsi="Times" w:eastAsia="Times" w:cs="Times"/>
          <w:color w:val="00007C"/>
          <w:sz w:val="16"/>
          <w:szCs w:val="16"/>
        </w:rPr>
        <w:fldChar w:fldCharType="end"/>
      </w:r>
      <w:r>
        <w:fldChar w:fldCharType="begin"/>
      </w:r>
      <w:r>
        <w:instrText xml:space="preserve"> HYPERLINK "http://dx.doi.org/10.1037/0033-295X.109.4.679" \h </w:instrText>
      </w:r>
      <w:r>
        <w:fldChar w:fldCharType="separate"/>
      </w:r>
      <w:r>
        <w:rPr>
          <w:rFonts w:ascii="Times" w:hAnsi="Times" w:eastAsia="Times" w:cs="Times"/>
          <w:color w:val="00007C"/>
          <w:sz w:val="16"/>
          <w:szCs w:val="16"/>
        </w:rPr>
        <w:t>295X.109.4.679</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3"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Hu, S., &amp; Li, C.-S. (2011). Neural processes of preparatory control for stop signal inhibition. </w:t>
      </w:r>
      <w:r>
        <w:rPr>
          <w:rFonts w:ascii="Times" w:hAnsi="Times" w:eastAsia="Times" w:cs="Times"/>
          <w:i/>
          <w:iCs/>
          <w:color w:val="auto"/>
          <w:sz w:val="16"/>
          <w:szCs w:val="16"/>
        </w:rPr>
        <w:t>Human Brain Mapping, 33,</w:t>
      </w:r>
      <w:r>
        <w:rPr>
          <w:rFonts w:ascii="Times" w:hAnsi="Times" w:eastAsia="Times" w:cs="Times"/>
          <w:color w:val="auto"/>
          <w:sz w:val="16"/>
          <w:szCs w:val="16"/>
        </w:rPr>
        <w:t xml:space="preserve"> 2785–2796. </w:t>
      </w:r>
      <w:r>
        <w:fldChar w:fldCharType="begin"/>
      </w:r>
      <w:r>
        <w:instrText xml:space="preserve"> HYPERLINK "http://dx.doi.org/10.1002/hbm.21399" \h </w:instrText>
      </w:r>
      <w:r>
        <w:fldChar w:fldCharType="separate"/>
      </w:r>
      <w:r>
        <w:rPr>
          <w:rFonts w:ascii="Times" w:hAnsi="Times" w:eastAsia="Times" w:cs="Times"/>
          <w:color w:val="00007C"/>
          <w:sz w:val="16"/>
          <w:szCs w:val="16"/>
        </w:rPr>
        <w:t>doi:10.1002/</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"http://dx.doi.org/10.1002/hbm.21399" \h </w:instrText>
      </w:r>
      <w:r>
        <w:fldChar w:fldCharType="separate"/>
      </w:r>
      <w:r>
        <w:rPr>
          <w:rFonts w:ascii="Times" w:hAnsi="Times" w:eastAsia="Times" w:cs="Times"/>
          <w:color w:val="00007C"/>
          <w:sz w:val="16"/>
          <w:szCs w:val="16"/>
        </w:rPr>
        <w:t>hbm.21399</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rPr>
          <w:color w:val="auto"/>
          <w:sz w:val="20"/>
          <w:szCs w:val="20"/>
        </w:rPr>
      </w:pPr>
      <w:r>
        <w:rPr>
          <w:rFonts w:ascii="Times" w:hAnsi="Times" w:eastAsia="Times" w:cs="Times"/>
          <w:color w:val="auto"/>
          <w:sz w:val="15"/>
          <w:szCs w:val="15"/>
        </w:rPr>
        <w:t>Huddy, V. C., Aron, A. R., Harrison, M., Barnes, T. R. E., Robbins, T. W.,</w:t>
      </w:r>
    </w:p>
    <w:p>
      <w:pPr>
        <w:spacing w:after="0" w:line="33" w:lineRule="exact"/>
        <w:rPr>
          <w:color w:val="auto"/>
          <w:sz w:val="20"/>
          <w:szCs w:val="20"/>
        </w:rPr>
      </w:pPr>
    </w:p>
    <w:p>
      <w:pPr>
        <w:numPr>
          <w:ilvl w:val="0"/>
          <w:numId w:val="6"/>
        </w:numPr>
        <w:tabs>
          <w:tab w:val="left" w:pos="337"/>
        </w:tabs>
        <w:spacing w:after="0" w:line="263" w:lineRule="auto"/>
        <w:ind w:left="160"/>
        <w:jc w:val="both"/>
        <w:rPr>
          <w:rFonts w:ascii="Times" w:hAnsi="Times" w:eastAsia="Times" w:cs="Times"/>
          <w:i/>
          <w:iCs/>
          <w:color w:val="auto"/>
          <w:sz w:val="16"/>
          <w:szCs w:val="16"/>
        </w:rPr>
      </w:pPr>
      <w:r>
        <w:rPr>
          <w:rFonts w:ascii="Times" w:hAnsi="Times" w:eastAsia="Times" w:cs="Times"/>
          <w:color w:val="auto"/>
          <w:sz w:val="16"/>
          <w:szCs w:val="16"/>
        </w:rPr>
        <w:t xml:space="preserve">Joyce, E. M. (2009). Impaired conscious and preserved unconscious inhibitory processing in recent onset schizophrenia. </w:t>
      </w:r>
      <w:r>
        <w:rPr>
          <w:rFonts w:ascii="Times" w:hAnsi="Times" w:eastAsia="Times" w:cs="Times"/>
          <w:i/>
          <w:iCs/>
          <w:color w:val="auto"/>
          <w:sz w:val="16"/>
          <w:szCs w:val="16"/>
        </w:rPr>
        <w:t xml:space="preserve">Psychological Med-icine, 39, </w:t>
      </w:r>
      <w:r>
        <w:rPr>
          <w:rFonts w:ascii="Times" w:hAnsi="Times" w:eastAsia="Times" w:cs="Times"/>
          <w:color w:val="auto"/>
          <w:sz w:val="16"/>
          <w:szCs w:val="16"/>
        </w:rPr>
        <w:t>907–916.</w:t>
      </w:r>
      <w:r>
        <w:rPr>
          <w:rFonts w:ascii="Times" w:hAnsi="Times" w:eastAsia="Times" w:cs="Times"/>
          <w:i/>
          <w:iCs/>
          <w:color w:val="auto"/>
          <w:sz w:val="16"/>
          <w:szCs w:val="16"/>
        </w:rPr>
        <w:t xml:space="preserve"> </w:t>
      </w:r>
      <w:r>
        <w:fldChar w:fldCharType="begin"/>
      </w:r>
      <w:r>
        <w:instrText xml:space="preserve"> HYPERLINK "http://dx.doi.org/10.1017/S0033291708004340" \h </w:instrText>
      </w:r>
      <w:r>
        <w:fldChar w:fldCharType="separate"/>
      </w:r>
      <w:r>
        <w:rPr>
          <w:rFonts w:ascii="Times" w:hAnsi="Times" w:eastAsia="Times" w:cs="Times"/>
          <w:color w:val="00007C"/>
          <w:sz w:val="16"/>
          <w:szCs w:val="16"/>
        </w:rPr>
        <w:t>doi:10.1017/S0033291708004340</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Huerta, M. F., Krubitzer, L. A., &amp; Kaas, J. H. (1987). Frontal eye field as defined by intracortical microstimulation in squirrel monkeys, owl mon-keys, and macaque monkeys: II. Cortical connections. </w:t>
      </w:r>
      <w:r>
        <w:rPr>
          <w:rFonts w:ascii="Times" w:hAnsi="Times" w:eastAsia="Times" w:cs="Times"/>
          <w:i/>
          <w:iCs/>
          <w:color w:val="auto"/>
          <w:sz w:val="16"/>
          <w:szCs w:val="16"/>
        </w:rPr>
        <w:t>The Journal of</w:t>
      </w:r>
      <w:r>
        <w:rPr>
          <w:rFonts w:ascii="Times" w:hAnsi="Times" w:eastAsia="Times" w:cs="Times"/>
          <w:color w:val="auto"/>
          <w:sz w:val="16"/>
          <w:szCs w:val="16"/>
        </w:rPr>
        <w:t xml:space="preserve"> </w:t>
      </w:r>
      <w:r>
        <w:rPr>
          <w:rFonts w:ascii="Times" w:hAnsi="Times" w:eastAsia="Times" w:cs="Times"/>
          <w:i/>
          <w:iCs/>
          <w:color w:val="auto"/>
          <w:sz w:val="16"/>
          <w:szCs w:val="16"/>
        </w:rPr>
        <w:t xml:space="preserve">Comparative Neurology, 265, </w:t>
      </w:r>
      <w:r>
        <w:rPr>
          <w:rFonts w:ascii="Times" w:hAnsi="Times" w:eastAsia="Times" w:cs="Times"/>
          <w:color w:val="auto"/>
          <w:sz w:val="16"/>
          <w:szCs w:val="16"/>
        </w:rPr>
        <w:t>332–361.</w:t>
      </w:r>
      <w:r>
        <w:rPr>
          <w:rFonts w:ascii="Times" w:hAnsi="Times" w:eastAsia="Times" w:cs="Times"/>
          <w:i/>
          <w:iCs/>
          <w:color w:val="auto"/>
          <w:sz w:val="16"/>
          <w:szCs w:val="16"/>
        </w:rPr>
        <w:t xml:space="preserve"> </w:t>
      </w:r>
      <w:r>
        <w:fldChar w:fldCharType="begin"/>
      </w:r>
      <w:r>
        <w:instrText xml:space="preserve"> HYPERLINK "http://dx.doi.org/10.1002/cne.902650304" \h </w:instrText>
      </w:r>
      <w:r>
        <w:fldChar w:fldCharType="separate"/>
      </w:r>
      <w:r>
        <w:rPr>
          <w:rFonts w:ascii="Times" w:hAnsi="Times" w:eastAsia="Times" w:cs="Times"/>
          <w:color w:val="00007C"/>
          <w:sz w:val="16"/>
          <w:szCs w:val="16"/>
        </w:rPr>
        <w:t>doi:10.1002/cne.902650304</w:t>
      </w:r>
      <w:r>
        <w:rPr>
          <w:rFonts w:ascii="Times" w:hAnsi="Times" w:eastAsia="Times" w:cs="Times"/>
          <w:color w:val="00007C"/>
          <w:sz w:val="16"/>
          <w:szCs w:val="16"/>
        </w:rPr>
        <w:fldChar w:fldCharType="end"/>
      </w:r>
    </w:p>
    <w:p>
      <w:pPr>
        <w:spacing w:after="0" w:line="20" w:lineRule="exact"/>
        <w:rPr>
          <w:color w:val="auto"/>
          <w:sz w:val="20"/>
          <w:szCs w:val="20"/>
        </w:rPr>
      </w:pPr>
    </w:p>
    <w:p>
      <w:pPr>
        <w:spacing w:after="0" w:line="268"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Hutton, S. B., &amp; Ettinger, U. (2006). The antisaccade task as a research tool in psychopathology: A critical review. </w:t>
      </w:r>
      <w:r>
        <w:rPr>
          <w:rFonts w:ascii="Times" w:hAnsi="Times" w:eastAsia="Times" w:cs="Times"/>
          <w:i/>
          <w:iCs/>
          <w:color w:val="auto"/>
          <w:sz w:val="16"/>
          <w:szCs w:val="16"/>
        </w:rPr>
        <w:t>Psychophysiology, 43,</w:t>
      </w:r>
      <w:r>
        <w:rPr>
          <w:rFonts w:ascii="Times" w:hAnsi="Times" w:eastAsia="Times" w:cs="Times"/>
          <w:color w:val="auto"/>
          <w:sz w:val="16"/>
          <w:szCs w:val="16"/>
        </w:rPr>
        <w:t xml:space="preserve"> 302–313. </w:t>
      </w:r>
      <w:r>
        <w:fldChar w:fldCharType="begin"/>
      </w:r>
      <w:r>
        <w:instrText xml:space="preserve"> HYPERLINK "http://dx.doi.org/10.1111/j.1469-8986.2006.00403.x" \h </w:instrText>
      </w:r>
      <w:r>
        <w:fldChar w:fldCharType="separate"/>
      </w:r>
      <w:r>
        <w:rPr>
          <w:rFonts w:ascii="Times" w:hAnsi="Times" w:eastAsia="Times" w:cs="Times"/>
          <w:color w:val="00007C"/>
          <w:sz w:val="16"/>
          <w:szCs w:val="16"/>
        </w:rPr>
        <w:t>doi:10.1111/j.1469-8986.2006.00403.x</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69" w:lineRule="auto"/>
        <w:ind w:left="160" w:hanging="159"/>
        <w:jc w:val="both"/>
        <w:rPr>
          <w:color w:val="auto"/>
          <w:sz w:val="20"/>
          <w:szCs w:val="20"/>
        </w:rPr>
      </w:pPr>
      <w:r>
        <w:rPr>
          <w:rFonts w:ascii="Times" w:hAnsi="Times" w:eastAsia="Times" w:cs="Times"/>
          <w:color w:val="auto"/>
          <w:sz w:val="16"/>
          <w:szCs w:val="16"/>
        </w:rPr>
        <w:t xml:space="preserve">Hwang, K., Velanova, K., &amp; Luna, B. (2010). Strengthening of top-down frontal cognitive control networks underlying the development of inhib-itory control: A functional magnetic resonance imaging effective con-nectivity study. </w:t>
      </w:r>
      <w:r>
        <w:rPr>
          <w:rFonts w:ascii="Times" w:hAnsi="Times" w:eastAsia="Times" w:cs="Times"/>
          <w:i/>
          <w:iCs/>
          <w:color w:val="auto"/>
          <w:sz w:val="16"/>
          <w:szCs w:val="16"/>
        </w:rPr>
        <w:t>The Journal of Neuroscience, 30,</w:t>
      </w:r>
      <w:r>
        <w:rPr>
          <w:rFonts w:ascii="Times" w:hAnsi="Times" w:eastAsia="Times" w:cs="Times"/>
          <w:color w:val="auto"/>
          <w:sz w:val="16"/>
          <w:szCs w:val="16"/>
        </w:rPr>
        <w:t xml:space="preserve"> 15535–15545.</w:t>
      </w:r>
    </w:p>
    <w:p>
      <w:pPr>
        <w:spacing w:after="0" w:line="12" w:lineRule="exact"/>
        <w:rPr>
          <w:color w:val="auto"/>
          <w:sz w:val="20"/>
          <w:szCs w:val="20"/>
        </w:rPr>
      </w:pPr>
    </w:p>
    <w:p>
      <w:pPr>
        <w:spacing w:after="0" w:line="267"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Isoda, M., &amp; Hikosaka, O. (2007). Switching from automatic to controlled action by monkey medial frontal cortex. </w:t>
      </w:r>
      <w:r>
        <w:rPr>
          <w:rFonts w:ascii="Times" w:hAnsi="Times" w:eastAsia="Times" w:cs="Times"/>
          <w:i/>
          <w:iCs/>
          <w:color w:val="auto"/>
          <w:sz w:val="16"/>
          <w:szCs w:val="16"/>
        </w:rPr>
        <w:t>Nature Neuroscience, 10,</w:t>
      </w:r>
      <w:r>
        <w:rPr>
          <w:rFonts w:ascii="Times" w:hAnsi="Times" w:eastAsia="Times" w:cs="Times"/>
          <w:color w:val="auto"/>
          <w:sz w:val="16"/>
          <w:szCs w:val="16"/>
        </w:rPr>
        <w:t xml:space="preserve"> 240 –248. </w:t>
      </w:r>
      <w:r>
        <w:fldChar w:fldCharType="begin"/>
      </w:r>
      <w:r>
        <w:instrText xml:space="preserve"> HYPERLINK "http://dx.doi.org/10.1038/nn1830" \h </w:instrText>
      </w:r>
      <w:r>
        <w:fldChar w:fldCharType="separate"/>
      </w:r>
      <w:r>
        <w:rPr>
          <w:rFonts w:ascii="Times" w:hAnsi="Times" w:eastAsia="Times" w:cs="Times"/>
          <w:color w:val="00007C"/>
          <w:sz w:val="16"/>
          <w:szCs w:val="16"/>
        </w:rPr>
        <w:t>doi:10.1038/nn1830</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7" w:lineRule="auto"/>
        <w:ind w:left="160" w:hanging="159"/>
        <w:jc w:val="both"/>
        <w:rPr>
          <w:color w:val="auto"/>
          <w:sz w:val="20"/>
          <w:szCs w:val="20"/>
        </w:rPr>
      </w:pPr>
      <w:r>
        <w:rPr>
          <w:rFonts w:ascii="Times" w:hAnsi="Times" w:eastAsia="Times" w:cs="Times"/>
          <w:color w:val="auto"/>
          <w:sz w:val="16"/>
          <w:szCs w:val="16"/>
        </w:rPr>
        <w:t xml:space="preserve">Isoda, M., &amp; Hikosaka, O. (2008). Role for subthalamic nucleus neurons in switching from automatic to controlled eye movement. </w:t>
      </w:r>
      <w:r>
        <w:rPr>
          <w:rFonts w:ascii="Times" w:hAnsi="Times" w:eastAsia="Times" w:cs="Times"/>
          <w:i/>
          <w:iCs/>
          <w:color w:val="auto"/>
          <w:sz w:val="16"/>
          <w:szCs w:val="16"/>
        </w:rPr>
        <w:t>The Journal of</w:t>
      </w:r>
      <w:r>
        <w:rPr>
          <w:rFonts w:ascii="Times" w:hAnsi="Times" w:eastAsia="Times" w:cs="Times"/>
          <w:color w:val="auto"/>
          <w:sz w:val="16"/>
          <w:szCs w:val="16"/>
        </w:rPr>
        <w:t xml:space="preserve"> </w:t>
      </w:r>
      <w:r>
        <w:rPr>
          <w:rFonts w:ascii="Times" w:hAnsi="Times" w:eastAsia="Times" w:cs="Times"/>
          <w:i/>
          <w:iCs/>
          <w:color w:val="auto"/>
          <w:sz w:val="16"/>
          <w:szCs w:val="16"/>
        </w:rPr>
        <w:t xml:space="preserve">Neuroscience, 28, </w:t>
      </w:r>
      <w:r>
        <w:rPr>
          <w:rFonts w:ascii="Times" w:hAnsi="Times" w:eastAsia="Times" w:cs="Times"/>
          <w:color w:val="auto"/>
          <w:sz w:val="16"/>
          <w:szCs w:val="16"/>
        </w:rPr>
        <w:t>7209 –7218.</w:t>
      </w:r>
    </w:p>
    <w:p>
      <w:pPr>
        <w:spacing w:after="0" w:line="14" w:lineRule="exact"/>
        <w:rPr>
          <w:color w:val="auto"/>
          <w:sz w:val="20"/>
          <w:szCs w:val="20"/>
        </w:rPr>
      </w:pPr>
    </w:p>
    <w:p>
      <w:pPr>
        <w:spacing w:after="0" w:line="270"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Jahfari, S., Verbruggen, F., Frank, M. J., Waldorp, L. J., Colzato, L., Ridderinkhof, K. R., &amp; Forstmann, B. U. (2012). How preparation changes the need for top-down control of the basal ganglia when inhibiting premature actions. </w:t>
      </w:r>
      <w:r>
        <w:rPr>
          <w:rFonts w:ascii="Times" w:hAnsi="Times" w:eastAsia="Times" w:cs="Times"/>
          <w:i/>
          <w:iCs/>
          <w:color w:val="auto"/>
          <w:sz w:val="16"/>
          <w:szCs w:val="16"/>
        </w:rPr>
        <w:t>The Journal of Neuroscience, 32,</w:t>
      </w:r>
      <w:r>
        <w:rPr>
          <w:rFonts w:ascii="Times" w:hAnsi="Times" w:eastAsia="Times" w:cs="Times"/>
          <w:color w:val="auto"/>
          <w:sz w:val="16"/>
          <w:szCs w:val="16"/>
        </w:rPr>
        <w:t xml:space="preserve"> 10870 – 10878. </w:t>
      </w:r>
      <w:r>
        <w:fldChar w:fldCharType="begin"/>
      </w:r>
      <w:r>
        <w:instrText xml:space="preserve"> HYPERLINK "http://dx.doi.org/10.1523/JNEUROSCI.0902-12.2012" \h </w:instrText>
      </w:r>
      <w:r>
        <w:fldChar w:fldCharType="separate"/>
      </w:r>
      <w:r>
        <w:rPr>
          <w:rFonts w:ascii="Times" w:hAnsi="Times" w:eastAsia="Times" w:cs="Times"/>
          <w:color w:val="00007C"/>
          <w:sz w:val="16"/>
          <w:szCs w:val="16"/>
        </w:rPr>
        <w:t>doi:10.1523/JNEUROSCI.0902-12.2012</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91" w:lineRule="auto"/>
        <w:ind w:left="160" w:hanging="159"/>
        <w:jc w:val="both"/>
        <w:rPr>
          <w:color w:val="auto"/>
          <w:sz w:val="20"/>
          <w:szCs w:val="20"/>
        </w:rPr>
      </w:pPr>
      <w:r>
        <w:rPr>
          <w:rFonts w:ascii="Times" w:hAnsi="Times" w:eastAsia="Times" w:cs="Times"/>
          <w:color w:val="auto"/>
          <w:sz w:val="15"/>
          <w:szCs w:val="15"/>
        </w:rPr>
        <w:t xml:space="preserve">Jahfari, S., Waldorp, L., van den Wildenberg, W. P. M., Scholte, H. S., Ridderinkhof, K. R., &amp; Forstmann, B. U. (2011). Effective connectivity reveals important roles for both the hyperdirect (fronto-subthalamic) and the indirect (fronto-striatal-pallidal) fronto-basal ganglia pathways dur-ing response inhibition. </w:t>
      </w:r>
      <w:r>
        <w:rPr>
          <w:rFonts w:ascii="Times" w:hAnsi="Times" w:eastAsia="Times" w:cs="Times"/>
          <w:i/>
          <w:iCs/>
          <w:color w:val="auto"/>
          <w:sz w:val="15"/>
          <w:szCs w:val="15"/>
        </w:rPr>
        <w:t>The Journal of Neuroscience, 31,</w:t>
      </w:r>
      <w:r>
        <w:rPr>
          <w:rFonts w:ascii="Times" w:hAnsi="Times" w:eastAsia="Times" w:cs="Times"/>
          <w:color w:val="auto"/>
          <w:sz w:val="15"/>
          <w:szCs w:val="15"/>
        </w:rPr>
        <w:t xml:space="preserve"> 6891– 6899.</w:t>
      </w:r>
    </w:p>
    <w:p>
      <w:pPr>
        <w:spacing w:after="0" w:line="1" w:lineRule="exact"/>
        <w:rPr>
          <w:color w:val="auto"/>
          <w:sz w:val="20"/>
          <w:szCs w:val="20"/>
        </w:rPr>
      </w:pPr>
    </w:p>
    <w:p>
      <w:pPr>
        <w:spacing w:after="0" w:line="269"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Jocham, G., Klein, T. A., &amp; Ullsperger, M. (2011). Dopamine-mediated reinforcement learning signals in the striatum and ventromedial prefron-tal cortex underlie value-based choices. </w:t>
      </w:r>
      <w:r>
        <w:rPr>
          <w:rFonts w:ascii="Times" w:hAnsi="Times" w:eastAsia="Times" w:cs="Times"/>
          <w:i/>
          <w:iCs/>
          <w:color w:val="auto"/>
          <w:sz w:val="16"/>
          <w:szCs w:val="16"/>
        </w:rPr>
        <w:t>The Journal of Neuroscience,</w:t>
      </w:r>
      <w:r>
        <w:rPr>
          <w:rFonts w:ascii="Times" w:hAnsi="Times" w:eastAsia="Times" w:cs="Times"/>
          <w:color w:val="auto"/>
          <w:sz w:val="16"/>
          <w:szCs w:val="16"/>
        </w:rPr>
        <w:t xml:space="preserve"> </w:t>
      </w:r>
      <w:r>
        <w:rPr>
          <w:rFonts w:ascii="Times" w:hAnsi="Times" w:eastAsia="Times" w:cs="Times"/>
          <w:i/>
          <w:iCs/>
          <w:color w:val="auto"/>
          <w:sz w:val="16"/>
          <w:szCs w:val="16"/>
        </w:rPr>
        <w:t xml:space="preserve">31, </w:t>
      </w:r>
      <w:r>
        <w:rPr>
          <w:rFonts w:ascii="Times" w:hAnsi="Times" w:eastAsia="Times" w:cs="Times"/>
          <w:color w:val="auto"/>
          <w:sz w:val="16"/>
          <w:szCs w:val="16"/>
        </w:rPr>
        <w:t>1606 –1613.</w:t>
      </w:r>
      <w:r>
        <w:rPr>
          <w:rFonts w:ascii="Times" w:hAnsi="Times" w:eastAsia="Times" w:cs="Times"/>
          <w:i/>
          <w:iCs/>
          <w:color w:val="auto"/>
          <w:sz w:val="16"/>
          <w:szCs w:val="16"/>
        </w:rPr>
        <w:t xml:space="preserve"> </w:t>
      </w:r>
      <w:r>
        <w:fldChar w:fldCharType="begin"/>
      </w:r>
      <w:r>
        <w:instrText xml:space="preserve"> HYPERLINK "http://dx.doi.org/10.1523/JNEUROSCI.3904-10.2011" \h </w:instrText>
      </w:r>
      <w:r>
        <w:fldChar w:fldCharType="separate"/>
      </w:r>
      <w:r>
        <w:rPr>
          <w:rFonts w:ascii="Times" w:hAnsi="Times" w:eastAsia="Times" w:cs="Times"/>
          <w:color w:val="00007C"/>
          <w:sz w:val="16"/>
          <w:szCs w:val="16"/>
        </w:rPr>
        <w:t>doi:10.1523/JNEUROSCI.3904-10.2011</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67" w:lineRule="auto"/>
        <w:ind w:left="160" w:hanging="159"/>
        <w:jc w:val="both"/>
        <w:rPr>
          <w:color w:val="auto"/>
          <w:sz w:val="20"/>
          <w:szCs w:val="20"/>
        </w:rPr>
      </w:pPr>
      <w:r>
        <w:rPr>
          <w:rFonts w:ascii="Times" w:hAnsi="Times" w:eastAsia="Times" w:cs="Times"/>
          <w:color w:val="auto"/>
          <w:sz w:val="16"/>
          <w:szCs w:val="16"/>
        </w:rPr>
        <w:t xml:space="preserve">Johnston, K., &amp; Everling, S. (2006). Monkey dorsolateral prefrontal cortex sends task-selective signals directly to the superior colliculus. </w:t>
      </w:r>
      <w:r>
        <w:rPr>
          <w:rFonts w:ascii="Times" w:hAnsi="Times" w:eastAsia="Times" w:cs="Times"/>
          <w:i/>
          <w:iCs/>
          <w:color w:val="auto"/>
          <w:sz w:val="16"/>
          <w:szCs w:val="16"/>
        </w:rPr>
        <w:t xml:space="preserve">The Jour-nal of Neuroscience, 26, </w:t>
      </w:r>
      <w:r>
        <w:rPr>
          <w:rFonts w:ascii="Times" w:hAnsi="Times" w:eastAsia="Times" w:cs="Times"/>
          <w:color w:val="auto"/>
          <w:sz w:val="16"/>
          <w:szCs w:val="16"/>
        </w:rPr>
        <w:t>12471–12478.</w:t>
      </w:r>
    </w:p>
    <w:p>
      <w:pPr>
        <w:spacing w:after="0" w:line="14" w:lineRule="exact"/>
        <w:rPr>
          <w:color w:val="auto"/>
          <w:sz w:val="20"/>
          <w:szCs w:val="20"/>
        </w:rPr>
      </w:pPr>
    </w:p>
    <w:p>
      <w:pPr>
        <w:spacing w:after="0" w:line="267"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Kolling, N., Behrens, T., Mars, R., &amp; Rushworth, M. (2012, April 6). Neural mechanisms of foraging. </w:t>
      </w:r>
      <w:r>
        <w:rPr>
          <w:rFonts w:ascii="Times" w:hAnsi="Times" w:eastAsia="Times" w:cs="Times"/>
          <w:i/>
          <w:iCs/>
          <w:color w:val="auto"/>
          <w:sz w:val="16"/>
          <w:szCs w:val="16"/>
        </w:rPr>
        <w:t>Science, 336,</w:t>
      </w:r>
      <w:r>
        <w:rPr>
          <w:rFonts w:ascii="Times" w:hAnsi="Times" w:eastAsia="Times" w:cs="Times"/>
          <w:color w:val="auto"/>
          <w:sz w:val="16"/>
          <w:szCs w:val="16"/>
        </w:rPr>
        <w:t xml:space="preserve"> 95–98. </w:t>
      </w:r>
      <w:r>
        <w:fldChar w:fldCharType="begin"/>
      </w:r>
      <w:r>
        <w:instrText xml:space="preserve"> HYPERLINK "http://dx.doi.org/10.1126/science.1216930" \h </w:instrText>
      </w:r>
      <w:r>
        <w:fldChar w:fldCharType="separate"/>
      </w:r>
      <w:r>
        <w:rPr>
          <w:rFonts w:ascii="Times" w:hAnsi="Times" w:eastAsia="Times" w:cs="Times"/>
          <w:color w:val="00007C"/>
          <w:sz w:val="16"/>
          <w:szCs w:val="16"/>
        </w:rPr>
        <w:t>doi:10.1126/</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"http://dx.doi.org/10.1126/science.1216930" \h </w:instrText>
      </w:r>
      <w:r>
        <w:fldChar w:fldCharType="separate"/>
      </w:r>
      <w:r>
        <w:rPr>
          <w:rFonts w:ascii="Times" w:hAnsi="Times" w:eastAsia="Times" w:cs="Times"/>
          <w:color w:val="00007C"/>
          <w:sz w:val="16"/>
          <w:szCs w:val="16"/>
        </w:rPr>
        <w:t>science.1216930</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7"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Kornblum, S., Hasbroucq, T., &amp; Osman, A. (1990). Dimensional overlap: Cognitive basis for stimulus-response compatibility—A model and tax-onomy. </w:t>
      </w:r>
      <w:r>
        <w:rPr>
          <w:rFonts w:ascii="Times" w:hAnsi="Times" w:eastAsia="Times" w:cs="Times"/>
          <w:i/>
          <w:iCs/>
          <w:color w:val="auto"/>
          <w:sz w:val="16"/>
          <w:szCs w:val="16"/>
        </w:rPr>
        <w:t>Psychological Review, 97,</w:t>
      </w:r>
      <w:r>
        <w:rPr>
          <w:rFonts w:ascii="Times" w:hAnsi="Times" w:eastAsia="Times" w:cs="Times"/>
          <w:color w:val="auto"/>
          <w:sz w:val="16"/>
          <w:szCs w:val="16"/>
        </w:rPr>
        <w:t xml:space="preserve"> 253–270. </w:t>
      </w:r>
      <w:r>
        <w:fldChar w:fldCharType="begin"/>
      </w:r>
      <w:r>
        <w:instrText xml:space="preserve"> HYPERLINK "http://dx.doi.org/10.1037/0033-295X.97.2.253" \h </w:instrText>
      </w:r>
      <w:r>
        <w:fldChar w:fldCharType="separate"/>
      </w:r>
      <w:r>
        <w:rPr>
          <w:rFonts w:ascii="Times" w:hAnsi="Times" w:eastAsia="Times" w:cs="Times"/>
          <w:color w:val="00007C"/>
          <w:sz w:val="16"/>
          <w:szCs w:val="16"/>
        </w:rPr>
        <w:t>doi:10.1037/0033-295X.97</w:t>
      </w:r>
      <w:r>
        <w:rPr>
          <w:rFonts w:ascii="Times" w:hAnsi="Times" w:eastAsia="Times" w:cs="Times"/>
          <w:color w:val="00007C"/>
          <w:sz w:val="16"/>
          <w:szCs w:val="16"/>
        </w:rPr>
        <w:fldChar w:fldCharType="end"/>
      </w:r>
    </w:p>
    <w:p>
      <w:pPr>
        <w:spacing w:after="0" w:line="6"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"http://dx.doi.org/10.1037/0033-295X.97.2.253" \h </w:instrText>
      </w:r>
      <w:r>
        <w:fldChar w:fldCharType="separate"/>
      </w:r>
      <w:r>
        <w:rPr>
          <w:rFonts w:ascii="Times" w:hAnsi="Times" w:eastAsia="Times" w:cs="Times"/>
          <w:color w:val="00007C"/>
          <w:sz w:val="16"/>
          <w:szCs w:val="16"/>
        </w:rPr>
        <w:t>.2.253</w:t>
      </w:r>
      <w:r>
        <w:rPr>
          <w:rFonts w:ascii="Times" w:hAnsi="Times" w:eastAsia="Times" w:cs="Times"/>
          <w:color w:val="00007C"/>
          <w:sz w:val="16"/>
          <w:szCs w:val="16"/>
        </w:rPr>
        <w:fldChar w:fldCharType="end"/>
      </w:r>
    </w:p>
    <w:p>
      <w:pPr>
        <w:spacing w:after="0" w:line="33" w:lineRule="exact"/>
        <w:rPr>
          <w:color w:val="auto"/>
          <w:sz w:val="20"/>
          <w:szCs w:val="20"/>
        </w:rPr>
      </w:pPr>
    </w:p>
    <w:p>
      <w:pPr>
        <w:spacing w:after="0" w:line="269"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Kravitz, A. V., Freeze, B. S., Parker, P. R. L., Kay, K., Thwin, M. T., Deisseroth, K., &amp; Kreitzer, A. C. (2010, July 29). Regulation of Parkin-sonian motor behaviours by optogenetic control of basal ganglia cir-cuitry. </w:t>
      </w:r>
      <w:r>
        <w:rPr>
          <w:rFonts w:ascii="Times" w:hAnsi="Times" w:eastAsia="Times" w:cs="Times"/>
          <w:i/>
          <w:iCs/>
          <w:color w:val="auto"/>
          <w:sz w:val="16"/>
          <w:szCs w:val="16"/>
        </w:rPr>
        <w:t>Nature, 466,</w:t>
      </w:r>
      <w:r>
        <w:rPr>
          <w:rFonts w:ascii="Times" w:hAnsi="Times" w:eastAsia="Times" w:cs="Times"/>
          <w:color w:val="auto"/>
          <w:sz w:val="16"/>
          <w:szCs w:val="16"/>
        </w:rPr>
        <w:t xml:space="preserve"> 622– 626. </w:t>
      </w:r>
      <w:r>
        <w:fldChar w:fldCharType="begin"/>
      </w:r>
      <w:r>
        <w:instrText xml:space="preserve"> HYPERLINK "http://dx.doi.org/10.1038/nature09159" \h </w:instrText>
      </w:r>
      <w:r>
        <w:fldChar w:fldCharType="separate"/>
      </w:r>
      <w:r>
        <w:rPr>
          <w:rFonts w:ascii="Times" w:hAnsi="Times" w:eastAsia="Times" w:cs="Times"/>
          <w:color w:val="00007C"/>
          <w:sz w:val="16"/>
          <w:szCs w:val="16"/>
        </w:rPr>
        <w:t>doi:10.1038/nature09159</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67"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Kravitz, A. V., Tye, L. D., &amp; Kreitzer, A. C. (2012). Distinct roles for direct and indirect pathway striatal neurons in reinforcement. </w:t>
      </w:r>
      <w:r>
        <w:rPr>
          <w:rFonts w:ascii="Times" w:hAnsi="Times" w:eastAsia="Times" w:cs="Times"/>
          <w:i/>
          <w:iCs/>
          <w:color w:val="auto"/>
          <w:sz w:val="16"/>
          <w:szCs w:val="16"/>
        </w:rPr>
        <w:t>Nature</w:t>
      </w:r>
      <w:r>
        <w:rPr>
          <w:rFonts w:ascii="Times" w:hAnsi="Times" w:eastAsia="Times" w:cs="Times"/>
          <w:color w:val="auto"/>
          <w:sz w:val="16"/>
          <w:szCs w:val="16"/>
        </w:rPr>
        <w:t xml:space="preserve"> </w:t>
      </w:r>
      <w:r>
        <w:rPr>
          <w:rFonts w:ascii="Times" w:hAnsi="Times" w:eastAsia="Times" w:cs="Times"/>
          <w:i/>
          <w:iCs/>
          <w:color w:val="auto"/>
          <w:sz w:val="16"/>
          <w:szCs w:val="16"/>
        </w:rPr>
        <w:t xml:space="preserve">Neuroscience, 15, </w:t>
      </w:r>
      <w:r>
        <w:rPr>
          <w:rFonts w:ascii="Times" w:hAnsi="Times" w:eastAsia="Times" w:cs="Times"/>
          <w:color w:val="auto"/>
          <w:sz w:val="16"/>
          <w:szCs w:val="16"/>
        </w:rPr>
        <w:t>816 – 818.</w:t>
      </w:r>
      <w:r>
        <w:rPr>
          <w:rFonts w:ascii="Times" w:hAnsi="Times" w:eastAsia="Times" w:cs="Times"/>
          <w:i/>
          <w:iCs/>
          <w:color w:val="auto"/>
          <w:sz w:val="16"/>
          <w:szCs w:val="16"/>
        </w:rPr>
        <w:t xml:space="preserve"> </w:t>
      </w:r>
      <w:r>
        <w:fldChar w:fldCharType="begin"/>
      </w:r>
      <w:r>
        <w:instrText xml:space="preserve"> HYPERLINK "http://dx.doi.org/10.1038/nn.3100" \h </w:instrText>
      </w:r>
      <w:r>
        <w:fldChar w:fldCharType="separate"/>
      </w:r>
      <w:r>
        <w:rPr>
          <w:rFonts w:ascii="Times" w:hAnsi="Times" w:eastAsia="Times" w:cs="Times"/>
          <w:color w:val="00007C"/>
          <w:sz w:val="16"/>
          <w:szCs w:val="16"/>
        </w:rPr>
        <w:t>doi:10.1038/nn.3100</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91" w:lineRule="auto"/>
        <w:ind w:left="160" w:hanging="159"/>
        <w:jc w:val="both"/>
        <w:rPr>
          <w:rFonts w:ascii="Times" w:hAnsi="Times" w:eastAsia="Times" w:cs="Times"/>
          <w:i/>
          <w:iCs/>
          <w:color w:val="auto"/>
          <w:sz w:val="15"/>
          <w:szCs w:val="15"/>
        </w:rPr>
      </w:pPr>
      <w:r>
        <w:rPr>
          <w:rFonts w:ascii="Times" w:hAnsi="Times" w:eastAsia="Times" w:cs="Times"/>
          <w:color w:val="auto"/>
          <w:sz w:val="15"/>
          <w:szCs w:val="15"/>
        </w:rPr>
        <w:t xml:space="preserve">Kühn, A. A., Williams, D., Kupsch, A., Limousin, P., Hariz, M., Schneider, G.-H., . . . Brown, P. (2004). Event-related beta desynchronization in human subthalamic nucleus correlates with motor performance. </w:t>
      </w:r>
      <w:r>
        <w:rPr>
          <w:rFonts w:ascii="Times" w:hAnsi="Times" w:eastAsia="Times" w:cs="Times"/>
          <w:i/>
          <w:iCs/>
          <w:color w:val="auto"/>
          <w:sz w:val="15"/>
          <w:szCs w:val="15"/>
        </w:rPr>
        <w:t>Brain: A</w:t>
      </w:r>
      <w:r>
        <w:rPr>
          <w:rFonts w:ascii="Times" w:hAnsi="Times" w:eastAsia="Times" w:cs="Times"/>
          <w:color w:val="auto"/>
          <w:sz w:val="15"/>
          <w:szCs w:val="15"/>
        </w:rPr>
        <w:t xml:space="preserve"> </w:t>
      </w:r>
      <w:r>
        <w:rPr>
          <w:rFonts w:ascii="Times" w:hAnsi="Times" w:eastAsia="Times" w:cs="Times"/>
          <w:i/>
          <w:iCs/>
          <w:color w:val="auto"/>
          <w:sz w:val="15"/>
          <w:szCs w:val="15"/>
        </w:rPr>
        <w:t xml:space="preserve">Journal of Neurology, 127, </w:t>
      </w:r>
      <w:r>
        <w:rPr>
          <w:rFonts w:ascii="Times" w:hAnsi="Times" w:eastAsia="Times" w:cs="Times"/>
          <w:color w:val="auto"/>
          <w:sz w:val="15"/>
          <w:szCs w:val="15"/>
        </w:rPr>
        <w:t>735–746.</w:t>
      </w:r>
      <w:r>
        <w:rPr>
          <w:rFonts w:ascii="Times" w:hAnsi="Times" w:eastAsia="Times" w:cs="Times"/>
          <w:i/>
          <w:iCs/>
          <w:color w:val="auto"/>
          <w:sz w:val="15"/>
          <w:szCs w:val="15"/>
        </w:rPr>
        <w:t xml:space="preserve"> </w:t>
      </w:r>
      <w:r>
        <w:fldChar w:fldCharType="begin"/>
      </w:r>
      <w:r>
        <w:instrText xml:space="preserve"> HYPERLINK "http://dx.doi.org/10.1093/brain/awh106" \h </w:instrText>
      </w:r>
      <w:r>
        <w:fldChar w:fldCharType="separate"/>
      </w:r>
      <w:r>
        <w:rPr>
          <w:rFonts w:ascii="Times" w:hAnsi="Times" w:eastAsia="Times" w:cs="Times"/>
          <w:color w:val="00007C"/>
          <w:sz w:val="15"/>
          <w:szCs w:val="15"/>
        </w:rPr>
        <w:t>doi:10.1093/brain/awh106</w:t>
      </w:r>
      <w:r>
        <w:rPr>
          <w:rFonts w:ascii="Times" w:hAnsi="Times" w:eastAsia="Times" w:cs="Times"/>
          <w:color w:val="00007C"/>
          <w:sz w:val="15"/>
          <w:szCs w:val="15"/>
        </w:rPr>
        <w:fldChar w:fldCharType="end"/>
      </w:r>
    </w:p>
    <w:p>
      <w:pPr>
        <w:spacing w:after="0" w:line="1" w:lineRule="exact"/>
        <w:rPr>
          <w:color w:val="auto"/>
          <w:sz w:val="20"/>
          <w:szCs w:val="20"/>
        </w:rPr>
      </w:pPr>
    </w:p>
    <w:p>
      <w:pPr>
        <w:spacing w:after="0" w:line="267"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Leotti, L. A., &amp; Wager, T. D. (2010). Motivational influences on response inhibition measures. </w:t>
      </w:r>
      <w:r>
        <w:rPr>
          <w:rFonts w:ascii="Times" w:hAnsi="Times" w:eastAsia="Times" w:cs="Times"/>
          <w:i/>
          <w:iCs/>
          <w:color w:val="auto"/>
          <w:sz w:val="16"/>
          <w:szCs w:val="16"/>
        </w:rPr>
        <w:t xml:space="preserve">Journal of Experimental Psychology: Human Per-ception and Performance, 36, </w:t>
      </w:r>
      <w:r>
        <w:rPr>
          <w:rFonts w:ascii="Times" w:hAnsi="Times" w:eastAsia="Times" w:cs="Times"/>
          <w:color w:val="auto"/>
          <w:sz w:val="16"/>
          <w:szCs w:val="16"/>
        </w:rPr>
        <w:t>430 – 447.</w:t>
      </w:r>
      <w:r>
        <w:rPr>
          <w:rFonts w:ascii="Times" w:hAnsi="Times" w:eastAsia="Times" w:cs="Times"/>
          <w:i/>
          <w:iCs/>
          <w:color w:val="auto"/>
          <w:sz w:val="16"/>
          <w:szCs w:val="16"/>
        </w:rPr>
        <w:t xml:space="preserve"> </w:t>
      </w:r>
      <w:r>
        <w:fldChar w:fldCharType="begin"/>
      </w:r>
      <w:r>
        <w:instrText xml:space="preserve"> HYPERLINK "http://dx.doi.org/10.1037/a0016802" \h </w:instrText>
      </w:r>
      <w:r>
        <w:fldChar w:fldCharType="separate"/>
      </w:r>
      <w:r>
        <w:rPr>
          <w:rFonts w:ascii="Times" w:hAnsi="Times" w:eastAsia="Times" w:cs="Times"/>
          <w:color w:val="00007C"/>
          <w:sz w:val="16"/>
          <w:szCs w:val="16"/>
        </w:rPr>
        <w:t>doi:10.1037/a0016802</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7" w:lineRule="auto"/>
        <w:ind w:left="160" w:hanging="159"/>
        <w:jc w:val="both"/>
        <w:rPr>
          <w:color w:val="auto"/>
          <w:sz w:val="20"/>
          <w:szCs w:val="20"/>
        </w:rPr>
      </w:pPr>
      <w:r>
        <w:rPr>
          <w:rFonts w:ascii="Times" w:hAnsi="Times" w:eastAsia="Times" w:cs="Times"/>
          <w:color w:val="auto"/>
          <w:sz w:val="16"/>
          <w:szCs w:val="16"/>
        </w:rPr>
        <w:t xml:space="preserve">Leung, H. C., &amp; Cai, W. (2007). Common and differential ventrolateral prefrontal activity during inhibition of hand and eye movements. </w:t>
      </w:r>
      <w:r>
        <w:rPr>
          <w:rFonts w:ascii="Times" w:hAnsi="Times" w:eastAsia="Times" w:cs="Times"/>
          <w:i/>
          <w:iCs/>
          <w:color w:val="auto"/>
          <w:sz w:val="16"/>
          <w:szCs w:val="16"/>
        </w:rPr>
        <w:t>The</w:t>
      </w:r>
      <w:r>
        <w:rPr>
          <w:rFonts w:ascii="Times" w:hAnsi="Times" w:eastAsia="Times" w:cs="Times"/>
          <w:color w:val="auto"/>
          <w:sz w:val="16"/>
          <w:szCs w:val="16"/>
        </w:rPr>
        <w:t xml:space="preserve"> </w:t>
      </w:r>
      <w:r>
        <w:rPr>
          <w:rFonts w:ascii="Times" w:hAnsi="Times" w:eastAsia="Times" w:cs="Times"/>
          <w:i/>
          <w:iCs/>
          <w:color w:val="auto"/>
          <w:sz w:val="16"/>
          <w:szCs w:val="16"/>
        </w:rPr>
        <w:t xml:space="preserve">Journal of Neuroscience, 27, </w:t>
      </w:r>
      <w:r>
        <w:rPr>
          <w:rFonts w:ascii="Times" w:hAnsi="Times" w:eastAsia="Times" w:cs="Times"/>
          <w:color w:val="auto"/>
          <w:sz w:val="16"/>
          <w:szCs w:val="16"/>
        </w:rPr>
        <w:t>9893–9900.</w:t>
      </w:r>
    </w:p>
    <w:p>
      <w:pPr>
        <w:spacing w:after="0" w:line="14" w:lineRule="exact"/>
        <w:rPr>
          <w:color w:val="auto"/>
          <w:sz w:val="20"/>
          <w:szCs w:val="20"/>
        </w:rPr>
      </w:pPr>
    </w:p>
    <w:p>
      <w:pPr>
        <w:numPr>
          <w:ilvl w:val="0"/>
          <w:numId w:val="0"/>
        </w:numPr>
        <w:ind w:firstLine="320" w:firstLineChars="200"/>
        <w:rPr>
          <w:rFonts w:ascii="Times" w:hAnsi="Times" w:eastAsia="Times" w:cs="Times"/>
          <w:color w:val="00007C"/>
          <w:sz w:val="16"/>
          <w:szCs w:val="16"/>
        </w:rPr>
      </w:pPr>
      <w:r>
        <w:rPr>
          <w:rFonts w:ascii="Times" w:hAnsi="Times" w:eastAsia="Times" w:cs="Times"/>
          <w:color w:val="auto"/>
          <w:sz w:val="16"/>
          <w:szCs w:val="16"/>
        </w:rPr>
        <w:t xml:space="preserve">Lo, C.-C., Boucher, L., Paré, M., Schall, J. D., &amp; Wang, X.-J. (2009). Proactive inhibitory control and attractor dynamics in countermanding action: A spiking neural circuit model. </w:t>
      </w:r>
      <w:r>
        <w:rPr>
          <w:rFonts w:ascii="Times" w:hAnsi="Times" w:eastAsia="Times" w:cs="Times"/>
          <w:i/>
          <w:iCs/>
          <w:color w:val="auto"/>
          <w:sz w:val="16"/>
          <w:szCs w:val="16"/>
        </w:rPr>
        <w:t>The Journal of Neuroscience, 29,</w:t>
      </w:r>
      <w:r>
        <w:rPr>
          <w:rFonts w:ascii="Times" w:hAnsi="Times" w:eastAsia="Times" w:cs="Times"/>
          <w:color w:val="auto"/>
          <w:sz w:val="16"/>
          <w:szCs w:val="16"/>
        </w:rPr>
        <w:t xml:space="preserve"> 9059 –9071. </w:t>
      </w:r>
      <w:r>
        <w:fldChar w:fldCharType="begin"/>
      </w:r>
      <w:r>
        <w:instrText xml:space="preserve"> HYPERLINK "http://dx.doi.org/10.1523/JNEUROSCI.6164-08.2009" \h </w:instrText>
      </w:r>
      <w:r>
        <w:fldChar w:fldCharType="separate"/>
      </w:r>
      <w:r>
        <w:rPr>
          <w:rFonts w:ascii="Times" w:hAnsi="Times" w:eastAsia="Times" w:cs="Times"/>
          <w:color w:val="00007C"/>
          <w:sz w:val="16"/>
          <w:szCs w:val="16"/>
        </w:rPr>
        <w:t>doi:10.1523/JNEUROSCI.6164-08.2009</w:t>
      </w:r>
      <w:r>
        <w:rPr>
          <w:rFonts w:ascii="Times" w:hAnsi="Times" w:eastAsia="Times" w:cs="Times"/>
          <w:color w:val="00007C"/>
          <w:sz w:val="16"/>
          <w:szCs w:val="16"/>
        </w:rPr>
        <w:fldChar w:fldCharType="end"/>
      </w:r>
    </w:p>
    <w:p>
      <w:pPr>
        <w:spacing w:after="0" w:line="259"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Lo, C.-C., &amp; Wang, X.-J. (2006). Cortico-basal ganglia circuit mechanism for a decision threshold in reaction time tasks. </w:t>
      </w:r>
      <w:r>
        <w:rPr>
          <w:rFonts w:ascii="Times" w:hAnsi="Times" w:eastAsia="Times" w:cs="Times"/>
          <w:i/>
          <w:iCs/>
          <w:color w:val="auto"/>
          <w:sz w:val="16"/>
          <w:szCs w:val="16"/>
        </w:rPr>
        <w:t>Nature Neuroscience, 9,</w:t>
      </w:r>
      <w:r>
        <w:rPr>
          <w:rFonts w:ascii="Times" w:hAnsi="Times" w:eastAsia="Times" w:cs="Times"/>
          <w:color w:val="auto"/>
          <w:sz w:val="16"/>
          <w:szCs w:val="16"/>
        </w:rPr>
        <w:t xml:space="preserve"> 956 –963. </w:t>
      </w:r>
      <w:r>
        <w:fldChar w:fldCharType="begin"/>
      </w:r>
      <w:r>
        <w:instrText xml:space="preserve"> HYPERLINK "http://dx.doi.org/10.1038/nn1722" \h </w:instrText>
      </w:r>
      <w:r>
        <w:fldChar w:fldCharType="separate"/>
      </w:r>
      <w:r>
        <w:rPr>
          <w:rFonts w:ascii="Times" w:hAnsi="Times" w:eastAsia="Times" w:cs="Times"/>
          <w:color w:val="00007C"/>
          <w:sz w:val="16"/>
          <w:szCs w:val="16"/>
        </w:rPr>
        <w:t>doi:10.1038/nn1722</w:t>
      </w:r>
      <w:r>
        <w:rPr>
          <w:rFonts w:ascii="Times" w:hAnsi="Times" w:eastAsia="Times" w:cs="Times"/>
          <w:color w:val="00007C"/>
          <w:sz w:val="16"/>
          <w:szCs w:val="16"/>
        </w:rPr>
        <w:fldChar w:fldCharType="end"/>
      </w:r>
    </w:p>
    <w:p>
      <w:pPr>
        <w:spacing w:after="0" w:line="4" w:lineRule="exact"/>
        <w:rPr>
          <w:color w:val="auto"/>
          <w:sz w:val="20"/>
          <w:szCs w:val="20"/>
        </w:rPr>
      </w:pPr>
    </w:p>
    <w:p>
      <w:pPr>
        <w:spacing w:after="0"/>
        <w:rPr>
          <w:color w:val="auto"/>
          <w:sz w:val="20"/>
          <w:szCs w:val="20"/>
        </w:rPr>
      </w:pPr>
      <w:r>
        <w:rPr>
          <w:rFonts w:ascii="Times" w:hAnsi="Times" w:eastAsia="Times" w:cs="Times"/>
          <w:color w:val="auto"/>
          <w:sz w:val="16"/>
          <w:szCs w:val="16"/>
        </w:rPr>
        <w:t>Logan, G. D. (1985). On the ability to inhibit simple thoughts and actions:</w:t>
      </w:r>
    </w:p>
    <w:p>
      <w:pPr>
        <w:spacing w:after="0" w:line="27" w:lineRule="exact"/>
        <w:rPr>
          <w:color w:val="auto"/>
          <w:sz w:val="20"/>
          <w:szCs w:val="20"/>
        </w:rPr>
      </w:pPr>
    </w:p>
    <w:p>
      <w:pPr>
        <w:numPr>
          <w:ilvl w:val="0"/>
          <w:numId w:val="7"/>
        </w:numPr>
        <w:tabs>
          <w:tab w:val="left" w:pos="374"/>
        </w:tabs>
        <w:spacing w:after="0" w:line="253" w:lineRule="auto"/>
        <w:ind w:left="160"/>
        <w:rPr>
          <w:rFonts w:ascii="Times" w:hAnsi="Times" w:eastAsia="Times" w:cs="Times"/>
          <w:color w:val="auto"/>
          <w:sz w:val="16"/>
          <w:szCs w:val="16"/>
        </w:rPr>
      </w:pPr>
      <w:r>
        <w:rPr>
          <w:rFonts w:ascii="Times" w:hAnsi="Times" w:eastAsia="Times" w:cs="Times"/>
          <w:color w:val="auto"/>
          <w:sz w:val="16"/>
          <w:szCs w:val="16"/>
        </w:rPr>
        <w:t xml:space="preserve">Stop-signal studies of repetition priming. </w:t>
      </w:r>
      <w:r>
        <w:rPr>
          <w:rFonts w:ascii="Times" w:hAnsi="Times" w:eastAsia="Times" w:cs="Times"/>
          <w:i/>
          <w:iCs/>
          <w:color w:val="auto"/>
          <w:sz w:val="16"/>
          <w:szCs w:val="16"/>
        </w:rPr>
        <w:t>Journal of Experimental</w:t>
      </w:r>
      <w:r>
        <w:rPr>
          <w:rFonts w:ascii="Times" w:hAnsi="Times" w:eastAsia="Times" w:cs="Times"/>
          <w:color w:val="auto"/>
          <w:sz w:val="16"/>
          <w:szCs w:val="16"/>
        </w:rPr>
        <w:t xml:space="preserve"> </w:t>
      </w:r>
      <w:r>
        <w:rPr>
          <w:rFonts w:ascii="Times" w:hAnsi="Times" w:eastAsia="Times" w:cs="Times"/>
          <w:i/>
          <w:iCs/>
          <w:color w:val="auto"/>
          <w:sz w:val="16"/>
          <w:szCs w:val="16"/>
        </w:rPr>
        <w:t xml:space="preserve">Psychology: Learning, Memory, and Cognition, 11, </w:t>
      </w:r>
      <w:r>
        <w:rPr>
          <w:rFonts w:ascii="Times" w:hAnsi="Times" w:eastAsia="Times" w:cs="Times"/>
          <w:color w:val="auto"/>
          <w:sz w:val="16"/>
          <w:szCs w:val="16"/>
        </w:rPr>
        <w:t>675– 691.</w:t>
      </w:r>
    </w:p>
    <w:p>
      <w:pPr>
        <w:spacing w:after="0" w:line="18" w:lineRule="exact"/>
        <w:rPr>
          <w:color w:val="auto"/>
          <w:sz w:val="20"/>
          <w:szCs w:val="20"/>
        </w:rPr>
      </w:pPr>
    </w:p>
    <w:p>
      <w:pPr>
        <w:spacing w:after="0" w:line="253" w:lineRule="auto"/>
        <w:jc w:val="right"/>
        <w:rPr>
          <w:color w:val="auto"/>
          <w:sz w:val="20"/>
          <w:szCs w:val="20"/>
        </w:rPr>
      </w:pPr>
      <w:r>
        <w:rPr>
          <w:rFonts w:ascii="Times" w:hAnsi="Times" w:eastAsia="Times" w:cs="Times"/>
          <w:color w:val="auto"/>
          <w:sz w:val="16"/>
          <w:szCs w:val="16"/>
        </w:rPr>
        <w:t xml:space="preserve">Logan, G. D., &amp; Cowan, W. B. (1984). On the ability to inhibit thought and action: A theory of an act of control. </w:t>
      </w:r>
      <w:r>
        <w:rPr>
          <w:rFonts w:ascii="Times" w:hAnsi="Times" w:eastAsia="Times" w:cs="Times"/>
          <w:i/>
          <w:iCs/>
          <w:color w:val="auto"/>
          <w:sz w:val="16"/>
          <w:szCs w:val="16"/>
        </w:rPr>
        <w:t>Psychological Review, 91,</w:t>
      </w:r>
      <w:r>
        <w:rPr>
          <w:rFonts w:ascii="Times" w:hAnsi="Times" w:eastAsia="Times" w:cs="Times"/>
          <w:color w:val="auto"/>
          <w:sz w:val="16"/>
          <w:szCs w:val="16"/>
        </w:rPr>
        <w:t xml:space="preserve"> 295–</w:t>
      </w:r>
    </w:p>
    <w:p>
      <w:pPr>
        <w:spacing w:after="0" w:line="9" w:lineRule="exact"/>
        <w:rPr>
          <w:color w:val="auto"/>
          <w:sz w:val="20"/>
          <w:szCs w:val="20"/>
        </w:rPr>
      </w:pPr>
    </w:p>
    <w:p>
      <w:pPr>
        <w:numPr>
          <w:ilvl w:val="0"/>
          <w:numId w:val="8"/>
        </w:numPr>
        <w:tabs>
          <w:tab w:val="left" w:pos="500"/>
        </w:tabs>
        <w:spacing w:after="0"/>
        <w:ind w:left="500" w:hanging="340"/>
        <w:rPr>
          <w:rFonts w:ascii="Times" w:hAnsi="Times" w:eastAsia="Times" w:cs="Times"/>
          <w:color w:val="00007C"/>
          <w:sz w:val="16"/>
          <w:szCs w:val="16"/>
        </w:rPr>
      </w:pPr>
      <w:r>
        <w:fldChar w:fldCharType="begin"/>
      </w:r>
      <w:r>
        <w:instrText xml:space="preserve"> HYPERLINK "http://dx.doi.org/10.1037/0033-295X.91.3.295" \h </w:instrText>
      </w:r>
      <w:r>
        <w:fldChar w:fldCharType="separate"/>
      </w:r>
      <w:r>
        <w:rPr>
          <w:rFonts w:ascii="Times" w:hAnsi="Times" w:eastAsia="Times" w:cs="Times"/>
          <w:color w:val="00007C"/>
          <w:sz w:val="16"/>
          <w:szCs w:val="16"/>
        </w:rPr>
        <w:t>doi:10.1037/0033-295X.91.3.295</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59"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Logan, G. D., Schachar, R. J., &amp; Tannock, R. (1997). Impulsivity and inhibitory control. </w:t>
      </w:r>
      <w:r>
        <w:rPr>
          <w:rFonts w:ascii="Times" w:hAnsi="Times" w:eastAsia="Times" w:cs="Times"/>
          <w:i/>
          <w:iCs/>
          <w:color w:val="auto"/>
          <w:sz w:val="16"/>
          <w:szCs w:val="16"/>
        </w:rPr>
        <w:t>Psychological Science, 8,</w:t>
      </w:r>
      <w:r>
        <w:rPr>
          <w:rFonts w:ascii="Times" w:hAnsi="Times" w:eastAsia="Times" w:cs="Times"/>
          <w:color w:val="auto"/>
          <w:sz w:val="16"/>
          <w:szCs w:val="16"/>
        </w:rPr>
        <w:t xml:space="preserve"> 60 – 64. </w:t>
      </w:r>
      <w:r>
        <w:fldChar w:fldCharType="begin"/>
      </w:r>
      <w:r>
        <w:instrText xml:space="preserve"> HYPERLINK "http://dx.doi.org/10.1111/j.1467-9280.1997.tb00545.x" \h </w:instrText>
      </w:r>
      <w:r>
        <w:fldChar w:fldCharType="separate"/>
      </w:r>
      <w:r>
        <w:rPr>
          <w:rFonts w:ascii="Times" w:hAnsi="Times" w:eastAsia="Times" w:cs="Times"/>
          <w:color w:val="00007C"/>
          <w:sz w:val="16"/>
          <w:szCs w:val="16"/>
        </w:rPr>
        <w:t>doi:10.1111/j.1467-</w:t>
      </w:r>
      <w:r>
        <w:rPr>
          <w:rFonts w:ascii="Times" w:hAnsi="Times" w:eastAsia="Times" w:cs="Times"/>
          <w:color w:val="00007C"/>
          <w:sz w:val="16"/>
          <w:szCs w:val="16"/>
        </w:rPr>
        <w:fldChar w:fldCharType="end"/>
      </w:r>
      <w:r>
        <w:fldChar w:fldCharType="begin"/>
      </w:r>
      <w:r>
        <w:instrText xml:space="preserve"> HYPERLINK "http://dx.doi.org/10.1111/j.1467-9280.1997.tb00545.x" \h </w:instrText>
      </w:r>
      <w:r>
        <w:fldChar w:fldCharType="separate"/>
      </w:r>
      <w:r>
        <w:rPr>
          <w:rFonts w:ascii="Times" w:hAnsi="Times" w:eastAsia="Times" w:cs="Times"/>
          <w:color w:val="00007C"/>
          <w:sz w:val="16"/>
          <w:szCs w:val="16"/>
        </w:rPr>
        <w:t>9280.1997.tb00545.x</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59"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Lu, M. T., Preston, J. B., &amp; Strick, P. L. (1994). Interconnections between the prefrontal cortex and the premotor areas in the frontal lobe. </w:t>
      </w:r>
      <w:r>
        <w:rPr>
          <w:rFonts w:ascii="Times" w:hAnsi="Times" w:eastAsia="Times" w:cs="Times"/>
          <w:i/>
          <w:iCs/>
          <w:color w:val="auto"/>
          <w:sz w:val="16"/>
          <w:szCs w:val="16"/>
        </w:rPr>
        <w:t>The</w:t>
      </w:r>
      <w:r>
        <w:rPr>
          <w:rFonts w:ascii="Times" w:hAnsi="Times" w:eastAsia="Times" w:cs="Times"/>
          <w:color w:val="auto"/>
          <w:sz w:val="16"/>
          <w:szCs w:val="16"/>
        </w:rPr>
        <w:t xml:space="preserve"> </w:t>
      </w:r>
      <w:r>
        <w:rPr>
          <w:rFonts w:ascii="Times" w:hAnsi="Times" w:eastAsia="Times" w:cs="Times"/>
          <w:i/>
          <w:iCs/>
          <w:color w:val="auto"/>
          <w:sz w:val="16"/>
          <w:szCs w:val="16"/>
        </w:rPr>
        <w:t xml:space="preserve">Journal of Comparative Neurology, 341, </w:t>
      </w:r>
      <w:r>
        <w:rPr>
          <w:rFonts w:ascii="Times" w:hAnsi="Times" w:eastAsia="Times" w:cs="Times"/>
          <w:color w:val="auto"/>
          <w:sz w:val="16"/>
          <w:szCs w:val="16"/>
        </w:rPr>
        <w:t>375–392.</w:t>
      </w:r>
      <w:r>
        <w:rPr>
          <w:rFonts w:ascii="Times" w:hAnsi="Times" w:eastAsia="Times" w:cs="Times"/>
          <w:i/>
          <w:iCs/>
          <w:color w:val="auto"/>
          <w:sz w:val="16"/>
          <w:szCs w:val="16"/>
        </w:rPr>
        <w:t xml:space="preserve"> </w:t>
      </w:r>
      <w:r>
        <w:fldChar w:fldCharType="begin"/>
      </w:r>
      <w:r>
        <w:instrText xml:space="preserve"> HYPERLINK "http://dx.doi.org/10.1002/cne.903410308" \h </w:instrText>
      </w:r>
      <w:r>
        <w:fldChar w:fldCharType="separate"/>
      </w:r>
      <w:r>
        <w:rPr>
          <w:rFonts w:ascii="Times" w:hAnsi="Times" w:eastAsia="Times" w:cs="Times"/>
          <w:color w:val="00007C"/>
          <w:sz w:val="16"/>
          <w:szCs w:val="16"/>
        </w:rPr>
        <w:t>doi:10.1002/cne</w:t>
      </w:r>
      <w:r>
        <w:rPr>
          <w:rFonts w:ascii="Times" w:hAnsi="Times" w:eastAsia="Times" w:cs="Times"/>
          <w:color w:val="00007C"/>
          <w:sz w:val="16"/>
          <w:szCs w:val="16"/>
        </w:rPr>
        <w:fldChar w:fldCharType="end"/>
      </w:r>
    </w:p>
    <w:p>
      <w:pPr>
        <w:spacing w:after="0" w:line="4"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"http://dx.doi.org/10.1002/cne.903410308" \h </w:instrText>
      </w:r>
      <w:r>
        <w:fldChar w:fldCharType="separate"/>
      </w:r>
      <w:r>
        <w:rPr>
          <w:rFonts w:ascii="Times" w:hAnsi="Times" w:eastAsia="Times" w:cs="Times"/>
          <w:color w:val="00007C"/>
          <w:sz w:val="16"/>
          <w:szCs w:val="16"/>
        </w:rPr>
        <w:t>.903410308</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61"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Mansfield, E. L., Karayanidis, F., Jamadar, S., Heathcote, A., &amp; Forst-mann, B. U. (2011). Adjustments of response threshold during task switching: A model-based functional magnetic resonance imaging study. </w:t>
      </w:r>
      <w:r>
        <w:rPr>
          <w:rFonts w:ascii="Times" w:hAnsi="Times" w:eastAsia="Times" w:cs="Times"/>
          <w:i/>
          <w:iCs/>
          <w:color w:val="auto"/>
          <w:sz w:val="16"/>
          <w:szCs w:val="16"/>
        </w:rPr>
        <w:t xml:space="preserve">The Journal of Neuroscience, 31, </w:t>
      </w:r>
      <w:r>
        <w:rPr>
          <w:rFonts w:ascii="Times" w:hAnsi="Times" w:eastAsia="Times" w:cs="Times"/>
          <w:color w:val="auto"/>
          <w:sz w:val="16"/>
          <w:szCs w:val="16"/>
        </w:rPr>
        <w:t>14688 –14692.</w:t>
      </w:r>
      <w:r>
        <w:rPr>
          <w:rFonts w:ascii="Times" w:hAnsi="Times" w:eastAsia="Times" w:cs="Times"/>
          <w:i/>
          <w:iCs/>
          <w:color w:val="auto"/>
          <w:sz w:val="16"/>
          <w:szCs w:val="16"/>
        </w:rPr>
        <w:t xml:space="preserve"> </w:t>
      </w:r>
      <w:r>
        <w:fldChar w:fldCharType="begin"/>
      </w:r>
      <w:r>
        <w:instrText xml:space="preserve"> HYPERLINK "http://dx.doi.org/10.1523/JNEUROSCI.2390-11.2011" \h </w:instrText>
      </w:r>
      <w:r>
        <w:fldChar w:fldCharType="separate"/>
      </w:r>
      <w:r>
        <w:rPr>
          <w:rFonts w:ascii="Times" w:hAnsi="Times" w:eastAsia="Times" w:cs="Times"/>
          <w:color w:val="00007C"/>
          <w:sz w:val="16"/>
          <w:szCs w:val="16"/>
        </w:rPr>
        <w:t>doi:10.1523/</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fldChar w:fldCharType="begin"/>
      </w:r>
      <w:r>
        <w:instrText xml:space="preserve"> HYPERLINK "http://dx.doi.org/10.1523/JNEUROSCI.2390-11.2011" \h </w:instrText>
      </w:r>
      <w:r>
        <w:fldChar w:fldCharType="separate"/>
      </w:r>
      <w:r>
        <w:rPr>
          <w:rFonts w:ascii="Times" w:hAnsi="Times" w:eastAsia="Times" w:cs="Times"/>
          <w:color w:val="00007C"/>
          <w:sz w:val="16"/>
          <w:szCs w:val="16"/>
        </w:rPr>
        <w:t>JNEUROSCI.2390-11.2011</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2" w:lineRule="auto"/>
        <w:jc w:val="right"/>
        <w:rPr>
          <w:rFonts w:ascii="Times" w:hAnsi="Times" w:eastAsia="Times" w:cs="Times"/>
          <w:i/>
          <w:iCs/>
          <w:color w:val="auto"/>
          <w:sz w:val="16"/>
          <w:szCs w:val="16"/>
        </w:rPr>
      </w:pPr>
      <w:r>
        <w:rPr>
          <w:rFonts w:ascii="Times" w:hAnsi="Times" w:eastAsia="Times" w:cs="Times"/>
          <w:color w:val="auto"/>
          <w:sz w:val="16"/>
          <w:szCs w:val="16"/>
        </w:rPr>
        <w:t xml:space="preserve">McDowell, J. E., Brown, G. G., Paulus, M., Martinez, A., Stewart, S. E., Dubowitz, D. J., &amp; Braff, D. L. (2002). Neural correlates of refixation saccades and antisaccades in normal and schizophrenia subjects. </w:t>
      </w:r>
      <w:r>
        <w:rPr>
          <w:rFonts w:ascii="Times" w:hAnsi="Times" w:eastAsia="Times" w:cs="Times"/>
          <w:i/>
          <w:iCs/>
          <w:color w:val="auto"/>
          <w:sz w:val="16"/>
          <w:szCs w:val="16"/>
        </w:rPr>
        <w:t xml:space="preserve">Bio-logical Psychiatry, 51, </w:t>
      </w:r>
      <w:r>
        <w:rPr>
          <w:rFonts w:ascii="Times" w:hAnsi="Times" w:eastAsia="Times" w:cs="Times"/>
          <w:color w:val="auto"/>
          <w:sz w:val="16"/>
          <w:szCs w:val="16"/>
        </w:rPr>
        <w:t>216 –223.</w:t>
      </w:r>
      <w:r>
        <w:rPr>
          <w:rFonts w:ascii="Times" w:hAnsi="Times" w:eastAsia="Times" w:cs="Times"/>
          <w:i/>
          <w:iCs/>
          <w:color w:val="auto"/>
          <w:sz w:val="16"/>
          <w:szCs w:val="16"/>
        </w:rPr>
        <w:t xml:space="preserve"> </w:t>
      </w:r>
      <w:r>
        <w:fldChar w:fldCharType="begin"/>
      </w:r>
      <w:r>
        <w:instrText xml:space="preserve"> HYPERLINK "http://dx.doi.org/10.1016/S0006-3223%2801%2901204-5" \h </w:instrText>
      </w:r>
      <w:r>
        <w:fldChar w:fldCharType="separate"/>
      </w:r>
      <w:r>
        <w:rPr>
          <w:rFonts w:ascii="Times" w:hAnsi="Times" w:eastAsia="Times" w:cs="Times"/>
          <w:color w:val="00007C"/>
          <w:sz w:val="16"/>
          <w:szCs w:val="16"/>
        </w:rPr>
        <w:t>doi:10.1016/S0006-3223(01)01204-5</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rPr>
          <w:rFonts w:ascii="Times" w:hAnsi="Times" w:eastAsia="Times" w:cs="Times"/>
          <w:color w:val="auto"/>
          <w:sz w:val="16"/>
          <w:szCs w:val="16"/>
        </w:rPr>
        <w:t xml:space="preserve">Menzies, L., Achard, S., Chamberlain, S. R., Fineberg, N., Chen, C. H., del Campo, N., . . . Bullmore, E. (2007). Neurocognitive endophenotypes of obsessive-compulsive disorder. </w:t>
      </w:r>
      <w:r>
        <w:rPr>
          <w:rFonts w:ascii="Times" w:hAnsi="Times" w:eastAsia="Times" w:cs="Times"/>
          <w:i/>
          <w:iCs/>
          <w:color w:val="auto"/>
          <w:sz w:val="16"/>
          <w:szCs w:val="16"/>
        </w:rPr>
        <w:t>Brain: A Journal of Neurology, 130,</w:t>
      </w:r>
    </w:p>
    <w:p>
      <w:pPr>
        <w:spacing w:after="0" w:line="5" w:lineRule="exact"/>
        <w:rPr>
          <w:color w:val="auto"/>
          <w:sz w:val="20"/>
          <w:szCs w:val="20"/>
        </w:rPr>
      </w:pPr>
    </w:p>
    <w:p>
      <w:pPr>
        <w:spacing w:after="0"/>
        <w:ind w:left="160"/>
        <w:rPr>
          <w:color w:val="auto"/>
          <w:sz w:val="20"/>
          <w:szCs w:val="20"/>
        </w:rPr>
      </w:pPr>
      <w:r>
        <w:rPr>
          <w:rFonts w:ascii="Times" w:hAnsi="Times" w:eastAsia="Times" w:cs="Times"/>
          <w:color w:val="auto"/>
          <w:sz w:val="16"/>
          <w:szCs w:val="16"/>
        </w:rPr>
        <w:t>3223–3236.</w:t>
      </w:r>
    </w:p>
    <w:p>
      <w:pPr>
        <w:spacing w:after="0" w:line="27" w:lineRule="exact"/>
        <w:rPr>
          <w:color w:val="auto"/>
          <w:sz w:val="20"/>
          <w:szCs w:val="20"/>
        </w:rPr>
      </w:pPr>
    </w:p>
    <w:p>
      <w:pPr>
        <w:spacing w:after="0" w:line="259"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Miller, E. K., &amp; Cohen, J. D. (2001). An integrative theory of prefrontal cortex function. </w:t>
      </w:r>
      <w:r>
        <w:rPr>
          <w:rFonts w:ascii="Times" w:hAnsi="Times" w:eastAsia="Times" w:cs="Times"/>
          <w:i/>
          <w:iCs/>
          <w:color w:val="auto"/>
          <w:sz w:val="16"/>
          <w:szCs w:val="16"/>
        </w:rPr>
        <w:t>Annual Review of Neuroscience, 24,</w:t>
      </w:r>
      <w:r>
        <w:rPr>
          <w:rFonts w:ascii="Times" w:hAnsi="Times" w:eastAsia="Times" w:cs="Times"/>
          <w:color w:val="auto"/>
          <w:sz w:val="16"/>
          <w:szCs w:val="16"/>
        </w:rPr>
        <w:t xml:space="preserve"> 167–202. </w:t>
      </w:r>
      <w:r>
        <w:fldChar w:fldCharType="begin"/>
      </w:r>
      <w:r>
        <w:instrText xml:space="preserve"> HYPERLINK "http://dx.doi.org/10.1146/annurev.neuro.24.1.167"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"http://dx.doi.org/10.1146/annurev.neuro.24.1.167" \h </w:instrText>
      </w:r>
      <w:r>
        <w:fldChar w:fldCharType="separate"/>
      </w:r>
      <w:r>
        <w:rPr>
          <w:rFonts w:ascii="Times" w:hAnsi="Times" w:eastAsia="Times" w:cs="Times"/>
          <w:color w:val="00007C"/>
          <w:sz w:val="16"/>
          <w:szCs w:val="16"/>
        </w:rPr>
        <w:t>10.1146/annurev.neuro.24.1.167</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59"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Mink, J. W. (1996). The basal ganglia: Focused selection and inhibition of competing motor programs. </w:t>
      </w:r>
      <w:r>
        <w:rPr>
          <w:rFonts w:ascii="Times" w:hAnsi="Times" w:eastAsia="Times" w:cs="Times"/>
          <w:i/>
          <w:iCs/>
          <w:color w:val="auto"/>
          <w:sz w:val="16"/>
          <w:szCs w:val="16"/>
        </w:rPr>
        <w:t>Progress in Neurobiology, 50,</w:t>
      </w:r>
      <w:r>
        <w:rPr>
          <w:rFonts w:ascii="Times" w:hAnsi="Times" w:eastAsia="Times" w:cs="Times"/>
          <w:color w:val="auto"/>
          <w:sz w:val="16"/>
          <w:szCs w:val="16"/>
        </w:rPr>
        <w:t xml:space="preserve"> 381– 425. </w:t>
      </w:r>
      <w:r>
        <w:fldChar w:fldCharType="begin"/>
      </w:r>
      <w:r>
        <w:instrText xml:space="preserve"> HYPERLINK "http://dx.doi.org/10.1016/S0301-0082%2896%2900042-1" \h </w:instrText>
      </w:r>
      <w:r>
        <w:fldChar w:fldCharType="separate"/>
      </w:r>
      <w:r>
        <w:rPr>
          <w:rFonts w:ascii="Times" w:hAnsi="Times" w:eastAsia="Times" w:cs="Times"/>
          <w:color w:val="00007C"/>
          <w:sz w:val="16"/>
          <w:szCs w:val="16"/>
        </w:rPr>
        <w:t>doi:10.1016/S0301-0082(96)00042-1</w:t>
      </w:r>
      <w:r>
        <w:rPr>
          <w:rFonts w:ascii="Times" w:hAnsi="Times" w:eastAsia="Times" w:cs="Times"/>
          <w:color w:val="00007C"/>
          <w:sz w:val="16"/>
          <w:szCs w:val="16"/>
        </w:rPr>
        <w:fldChar w:fldCharType="end"/>
      </w:r>
    </w:p>
    <w:p>
      <w:pPr>
        <w:spacing w:after="0" w:line="4" w:lineRule="exact"/>
        <w:rPr>
          <w:color w:val="auto"/>
          <w:sz w:val="20"/>
          <w:szCs w:val="20"/>
        </w:rPr>
      </w:pPr>
    </w:p>
    <w:p>
      <w:pPr>
        <w:spacing w:after="0"/>
        <w:rPr>
          <w:color w:val="auto"/>
          <w:sz w:val="20"/>
          <w:szCs w:val="20"/>
        </w:rPr>
      </w:pPr>
      <w:r>
        <w:rPr>
          <w:rFonts w:ascii="Times" w:hAnsi="Times" w:eastAsia="Times" w:cs="Times"/>
          <w:color w:val="auto"/>
          <w:sz w:val="16"/>
          <w:szCs w:val="16"/>
        </w:rPr>
        <w:t>Miyake, A., Friedman, N. P., Emerson, M. J., Witzki, A. H., Howerter, A.,</w:t>
      </w:r>
    </w:p>
    <w:p>
      <w:pPr>
        <w:spacing w:after="0" w:line="27" w:lineRule="exact"/>
        <w:rPr>
          <w:color w:val="auto"/>
          <w:sz w:val="20"/>
          <w:szCs w:val="20"/>
        </w:rPr>
      </w:pPr>
    </w:p>
    <w:p>
      <w:pPr>
        <w:numPr>
          <w:ilvl w:val="0"/>
          <w:numId w:val="9"/>
        </w:numPr>
        <w:tabs>
          <w:tab w:val="left" w:pos="337"/>
        </w:tabs>
        <w:spacing w:after="0" w:line="259" w:lineRule="auto"/>
        <w:ind w:left="160"/>
        <w:jc w:val="both"/>
        <w:rPr>
          <w:rFonts w:ascii="Times" w:hAnsi="Times" w:eastAsia="Times" w:cs="Times"/>
          <w:color w:val="auto"/>
          <w:sz w:val="16"/>
          <w:szCs w:val="16"/>
        </w:rPr>
      </w:pPr>
      <w:r>
        <w:rPr>
          <w:rFonts w:ascii="Times" w:hAnsi="Times" w:eastAsia="Times" w:cs="Times"/>
          <w:color w:val="auto"/>
          <w:sz w:val="16"/>
          <w:szCs w:val="16"/>
        </w:rPr>
        <w:t xml:space="preserve">Wager, T. D. (2000). The unity and diversity of executive functions and their contributions to complex “frontal lobe” tasks: A latent variable analysis. </w:t>
      </w:r>
      <w:r>
        <w:rPr>
          <w:rFonts w:ascii="Times" w:hAnsi="Times" w:eastAsia="Times" w:cs="Times"/>
          <w:i/>
          <w:iCs/>
          <w:color w:val="auto"/>
          <w:sz w:val="16"/>
          <w:szCs w:val="16"/>
        </w:rPr>
        <w:t>Cognitive Psychology, 41,</w:t>
      </w:r>
      <w:r>
        <w:rPr>
          <w:rFonts w:ascii="Times" w:hAnsi="Times" w:eastAsia="Times" w:cs="Times"/>
          <w:color w:val="auto"/>
          <w:sz w:val="16"/>
          <w:szCs w:val="16"/>
        </w:rPr>
        <w:t xml:space="preserve"> 49 –100. </w:t>
      </w:r>
      <w:r>
        <w:fldChar w:fldCharType="begin"/>
      </w:r>
      <w:r>
        <w:instrText xml:space="preserve"> HYPERLINK "http://dx.doi.org/10.1006/cogp.1999.0734" \h </w:instrText>
      </w:r>
      <w:r>
        <w:fldChar w:fldCharType="separate"/>
      </w:r>
      <w:r>
        <w:rPr>
          <w:rFonts w:ascii="Times" w:hAnsi="Times" w:eastAsia="Times" w:cs="Times"/>
          <w:color w:val="00007C"/>
          <w:sz w:val="16"/>
          <w:szCs w:val="16"/>
        </w:rPr>
        <w:t>doi:10.1006/cogp.1999</w:t>
      </w:r>
      <w:r>
        <w:rPr>
          <w:rFonts w:ascii="Times" w:hAnsi="Times" w:eastAsia="Times" w:cs="Times"/>
          <w:color w:val="00007C"/>
          <w:sz w:val="16"/>
          <w:szCs w:val="16"/>
        </w:rPr>
        <w:fldChar w:fldCharType="end"/>
      </w:r>
    </w:p>
    <w:p>
      <w:pPr>
        <w:spacing w:after="0" w:line="4" w:lineRule="exact"/>
        <w:rPr>
          <w:rFonts w:ascii="Times" w:hAnsi="Times" w:eastAsia="Times" w:cs="Times"/>
          <w:color w:val="auto"/>
          <w:sz w:val="16"/>
          <w:szCs w:val="16"/>
        </w:rPr>
      </w:pPr>
    </w:p>
    <w:p>
      <w:pPr>
        <w:spacing w:after="0"/>
        <w:ind w:left="160"/>
        <w:rPr>
          <w:rFonts w:ascii="Times" w:hAnsi="Times" w:eastAsia="Times" w:cs="Times"/>
          <w:color w:val="00007C"/>
          <w:sz w:val="16"/>
          <w:szCs w:val="16"/>
        </w:rPr>
      </w:pPr>
      <w:r>
        <w:fldChar w:fldCharType="begin"/>
      </w:r>
      <w:r>
        <w:instrText xml:space="preserve"> HYPERLINK "http://dx.doi.org/10.1006/cogp.1999.0734" \h </w:instrText>
      </w:r>
      <w:r>
        <w:fldChar w:fldCharType="separate"/>
      </w:r>
      <w:r>
        <w:rPr>
          <w:rFonts w:ascii="Times" w:hAnsi="Times" w:eastAsia="Times" w:cs="Times"/>
          <w:color w:val="00007C"/>
          <w:sz w:val="16"/>
          <w:szCs w:val="16"/>
        </w:rPr>
        <w:t>.0734</w:t>
      </w:r>
      <w:r>
        <w:rPr>
          <w:rFonts w:ascii="Times" w:hAnsi="Times" w:eastAsia="Times" w:cs="Times"/>
          <w:color w:val="00007C"/>
          <w:sz w:val="16"/>
          <w:szCs w:val="16"/>
        </w:rPr>
        <w:fldChar w:fldCharType="end"/>
      </w:r>
    </w:p>
    <w:p>
      <w:pPr>
        <w:spacing w:after="0" w:line="27" w:lineRule="exact"/>
        <w:rPr>
          <w:rFonts w:ascii="Times" w:hAnsi="Times" w:eastAsia="Times" w:cs="Times"/>
          <w:color w:val="auto"/>
          <w:sz w:val="16"/>
          <w:szCs w:val="16"/>
        </w:rPr>
      </w:pPr>
    </w:p>
    <w:p>
      <w:pPr>
        <w:spacing w:after="0" w:line="259" w:lineRule="auto"/>
        <w:ind w:left="160" w:hanging="159"/>
        <w:jc w:val="both"/>
        <w:rPr>
          <w:color w:val="auto"/>
          <w:sz w:val="20"/>
          <w:szCs w:val="20"/>
        </w:rPr>
      </w:pPr>
      <w:r>
        <w:rPr>
          <w:rFonts w:ascii="Times" w:hAnsi="Times" w:eastAsia="Times" w:cs="Times"/>
          <w:color w:val="auto"/>
          <w:sz w:val="16"/>
          <w:szCs w:val="16"/>
        </w:rPr>
        <w:t xml:space="preserve">Montague, P. R., Dayan, P., &amp; Sejnowski, T. J. (1996). A framework for mesencephalic dopamine systems based on predictive Hebbian learning. </w:t>
      </w:r>
      <w:r>
        <w:rPr>
          <w:rFonts w:ascii="Times" w:hAnsi="Times" w:eastAsia="Times" w:cs="Times"/>
          <w:i/>
          <w:iCs/>
          <w:color w:val="auto"/>
          <w:sz w:val="16"/>
          <w:szCs w:val="16"/>
        </w:rPr>
        <w:t xml:space="preserve">The Journal of Neuroscience, 16, </w:t>
      </w:r>
      <w:r>
        <w:rPr>
          <w:rFonts w:ascii="Times" w:hAnsi="Times" w:eastAsia="Times" w:cs="Times"/>
          <w:color w:val="auto"/>
          <w:sz w:val="16"/>
          <w:szCs w:val="16"/>
        </w:rPr>
        <w:t>1936 –1947.</w:t>
      </w:r>
    </w:p>
    <w:p>
      <w:pPr>
        <w:spacing w:after="0" w:line="13" w:lineRule="exact"/>
        <w:rPr>
          <w:rFonts w:ascii="Times" w:hAnsi="Times" w:eastAsia="Times" w:cs="Times"/>
          <w:color w:val="auto"/>
          <w:sz w:val="16"/>
          <w:szCs w:val="16"/>
        </w:rPr>
      </w:pPr>
    </w:p>
    <w:p>
      <w:pPr>
        <w:spacing w:after="0" w:line="260"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Monterosso, J. R., Aron, A. R., Cordova, X., Xu, J., &amp; London, E. D. (2005). Deficits in response inhibition associated with chronic metham-phetamine abuse. </w:t>
      </w:r>
      <w:r>
        <w:rPr>
          <w:rFonts w:ascii="Times" w:hAnsi="Times" w:eastAsia="Times" w:cs="Times"/>
          <w:i/>
          <w:iCs/>
          <w:color w:val="auto"/>
          <w:sz w:val="16"/>
          <w:szCs w:val="16"/>
        </w:rPr>
        <w:t>Drug and Alcohol Dependence, 79,</w:t>
      </w:r>
      <w:r>
        <w:rPr>
          <w:rFonts w:ascii="Times" w:hAnsi="Times" w:eastAsia="Times" w:cs="Times"/>
          <w:color w:val="auto"/>
          <w:sz w:val="16"/>
          <w:szCs w:val="16"/>
        </w:rPr>
        <w:t xml:space="preserve"> 273–277. </w:t>
      </w:r>
      <w:r>
        <w:fldChar w:fldCharType="begin"/>
      </w:r>
      <w:r>
        <w:instrText xml:space="preserve"> HYPERLINK "http://dx.doi.org/10.1016/j.drugalcdep.2005.02.002"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"http://dx.doi.org/10.1016/j.drugalcdep.2005.02.002" \h </w:instrText>
      </w:r>
      <w:r>
        <w:fldChar w:fldCharType="separate"/>
      </w:r>
      <w:r>
        <w:rPr>
          <w:rFonts w:ascii="Times" w:hAnsi="Times" w:eastAsia="Times" w:cs="Times"/>
          <w:color w:val="00007C"/>
          <w:sz w:val="16"/>
          <w:szCs w:val="16"/>
        </w:rPr>
        <w:t>10.1016/j.drugalcdep.2005.02.002</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9" w:lineRule="auto"/>
        <w:ind w:left="160" w:hanging="159"/>
        <w:jc w:val="both"/>
        <w:rPr>
          <w:color w:val="auto"/>
          <w:sz w:val="20"/>
          <w:szCs w:val="20"/>
        </w:rPr>
      </w:pPr>
      <w:r>
        <w:rPr>
          <w:rFonts w:ascii="Times" w:hAnsi="Times" w:eastAsia="Times" w:cs="Times"/>
          <w:color w:val="auto"/>
          <w:sz w:val="16"/>
          <w:szCs w:val="16"/>
        </w:rPr>
        <w:t xml:space="preserve">Morein-Zamir, S., Fineberg, N. A., Robbins, T. W., &amp; Sahakian, B. J. (2010). Inhibition of thoughts and actions in obsessive-compulsive dis-order: Extending the endophenotype? </w:t>
      </w:r>
      <w:r>
        <w:rPr>
          <w:rFonts w:ascii="Times" w:hAnsi="Times" w:eastAsia="Times" w:cs="Times"/>
          <w:i/>
          <w:iCs/>
          <w:color w:val="auto"/>
          <w:sz w:val="16"/>
          <w:szCs w:val="16"/>
        </w:rPr>
        <w:t>Psychological Medicine, 40,</w:t>
      </w:r>
      <w:r>
        <w:rPr>
          <w:rFonts w:ascii="Times" w:hAnsi="Times" w:eastAsia="Times" w:cs="Times"/>
          <w:color w:val="auto"/>
          <w:sz w:val="16"/>
          <w:szCs w:val="16"/>
        </w:rPr>
        <w:t xml:space="preserve"> 263–</w:t>
      </w:r>
    </w:p>
    <w:p>
      <w:pPr>
        <w:spacing w:after="0" w:line="4" w:lineRule="exact"/>
        <w:rPr>
          <w:color w:val="auto"/>
          <w:sz w:val="20"/>
          <w:szCs w:val="20"/>
        </w:rPr>
      </w:pPr>
    </w:p>
    <w:p>
      <w:pPr>
        <w:numPr>
          <w:ilvl w:val="0"/>
          <w:numId w:val="10"/>
        </w:numPr>
        <w:tabs>
          <w:tab w:val="left" w:pos="500"/>
        </w:tabs>
        <w:spacing w:after="0"/>
        <w:ind w:left="500" w:hanging="340"/>
        <w:rPr>
          <w:rFonts w:ascii="Times" w:hAnsi="Times" w:eastAsia="Times" w:cs="Times"/>
          <w:color w:val="00007C"/>
          <w:sz w:val="16"/>
          <w:szCs w:val="16"/>
        </w:rPr>
      </w:pPr>
      <w:r>
        <w:fldChar w:fldCharType="begin"/>
      </w:r>
      <w:r>
        <w:instrText xml:space="preserve"> HYPERLINK "http://dx.doi.org/10.1017/S003329170999033X" \h </w:instrText>
      </w:r>
      <w:r>
        <w:fldChar w:fldCharType="separate"/>
      </w:r>
      <w:r>
        <w:rPr>
          <w:rFonts w:ascii="Times" w:hAnsi="Times" w:eastAsia="Times" w:cs="Times"/>
          <w:color w:val="00007C"/>
          <w:sz w:val="16"/>
          <w:szCs w:val="16"/>
        </w:rPr>
        <w:t>doi:10.1017/S003329170999033X</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59" w:lineRule="auto"/>
        <w:ind w:left="160" w:hanging="159"/>
        <w:jc w:val="both"/>
        <w:rPr>
          <w:color w:val="auto"/>
          <w:sz w:val="20"/>
          <w:szCs w:val="20"/>
        </w:rPr>
      </w:pPr>
      <w:r>
        <w:rPr>
          <w:rFonts w:ascii="Times" w:hAnsi="Times" w:eastAsia="Times" w:cs="Times"/>
          <w:color w:val="auto"/>
          <w:sz w:val="16"/>
          <w:szCs w:val="16"/>
        </w:rPr>
        <w:t xml:space="preserve">Morein-Zamir, S., &amp; Kingstone, A. (2006). Fixation offset and stop signal intensity effects on saccadic countermanding: A crossmodal investiga-tion. </w:t>
      </w:r>
      <w:r>
        <w:rPr>
          <w:rFonts w:ascii="Times" w:hAnsi="Times" w:eastAsia="Times" w:cs="Times"/>
          <w:i/>
          <w:iCs/>
          <w:color w:val="auto"/>
          <w:sz w:val="16"/>
          <w:szCs w:val="16"/>
        </w:rPr>
        <w:t>Experimental Brain Research, 175,</w:t>
      </w:r>
      <w:r>
        <w:rPr>
          <w:rFonts w:ascii="Times" w:hAnsi="Times" w:eastAsia="Times" w:cs="Times"/>
          <w:color w:val="auto"/>
          <w:sz w:val="16"/>
          <w:szCs w:val="16"/>
        </w:rPr>
        <w:t xml:space="preserve"> 453– 462.</w:t>
      </w:r>
    </w:p>
    <w:p>
      <w:pPr>
        <w:spacing w:after="0" w:line="4" w:lineRule="exact"/>
        <w:rPr>
          <w:color w:val="auto"/>
          <w:sz w:val="20"/>
          <w:szCs w:val="20"/>
        </w:rPr>
      </w:pPr>
    </w:p>
    <w:p>
      <w:pPr>
        <w:spacing w:after="0"/>
        <w:rPr>
          <w:color w:val="auto"/>
          <w:sz w:val="20"/>
          <w:szCs w:val="20"/>
        </w:rPr>
      </w:pPr>
      <w:r>
        <w:rPr>
          <w:rFonts w:ascii="Times" w:hAnsi="Times" w:eastAsia="Times" w:cs="Times"/>
          <w:color w:val="auto"/>
          <w:sz w:val="16"/>
          <w:szCs w:val="16"/>
        </w:rPr>
        <w:t>Munakata, Y., Herd, S. A., Chatham, C. H., Depue, B. E., Banich, M. T.,</w:t>
      </w:r>
    </w:p>
    <w:p>
      <w:pPr>
        <w:spacing w:after="0" w:line="27" w:lineRule="exact"/>
        <w:rPr>
          <w:color w:val="auto"/>
          <w:sz w:val="20"/>
          <w:szCs w:val="20"/>
        </w:rPr>
      </w:pPr>
    </w:p>
    <w:p>
      <w:pPr>
        <w:numPr>
          <w:ilvl w:val="0"/>
          <w:numId w:val="11"/>
        </w:numPr>
        <w:tabs>
          <w:tab w:val="left" w:pos="342"/>
        </w:tabs>
        <w:spacing w:after="0" w:line="253" w:lineRule="auto"/>
        <w:ind w:left="160"/>
        <w:jc w:val="both"/>
        <w:rPr>
          <w:rFonts w:ascii="Times" w:hAnsi="Times" w:eastAsia="Times" w:cs="Times"/>
          <w:i/>
          <w:iCs/>
          <w:color w:val="auto"/>
          <w:sz w:val="16"/>
          <w:szCs w:val="16"/>
        </w:rPr>
      </w:pPr>
      <w:r>
        <w:rPr>
          <w:rFonts w:ascii="Times" w:hAnsi="Times" w:eastAsia="Times" w:cs="Times"/>
          <w:color w:val="auto"/>
          <w:sz w:val="16"/>
          <w:szCs w:val="16"/>
        </w:rPr>
        <w:t xml:space="preserve">O’Reilly, R. C. (2011). A unified framework for inhibitory control. </w:t>
      </w:r>
      <w:r>
        <w:rPr>
          <w:rFonts w:ascii="Times" w:hAnsi="Times" w:eastAsia="Times" w:cs="Times"/>
          <w:i/>
          <w:iCs/>
          <w:color w:val="auto"/>
          <w:sz w:val="16"/>
          <w:szCs w:val="16"/>
        </w:rPr>
        <w:t xml:space="preserve">Trends in Cognitive Sciences, 15, </w:t>
      </w:r>
      <w:r>
        <w:rPr>
          <w:rFonts w:ascii="Times" w:hAnsi="Times" w:eastAsia="Times" w:cs="Times"/>
          <w:color w:val="auto"/>
          <w:sz w:val="16"/>
          <w:szCs w:val="16"/>
        </w:rPr>
        <w:t>453– 459.</w:t>
      </w:r>
      <w:r>
        <w:rPr>
          <w:rFonts w:ascii="Times" w:hAnsi="Times" w:eastAsia="Times" w:cs="Times"/>
          <w:i/>
          <w:iCs/>
          <w:color w:val="auto"/>
          <w:sz w:val="16"/>
          <w:szCs w:val="16"/>
        </w:rPr>
        <w:t xml:space="preserve"> </w:t>
      </w:r>
      <w:r>
        <w:fldChar w:fldCharType="begin"/>
      </w:r>
      <w:r>
        <w:instrText xml:space="preserve"> HYPERLINK "http://dx.doi.org/10.1016/j.tics.2011.07.011" \h </w:instrText>
      </w:r>
      <w:r>
        <w:fldChar w:fldCharType="separate"/>
      </w:r>
      <w:r>
        <w:rPr>
          <w:rFonts w:ascii="Times" w:hAnsi="Times" w:eastAsia="Times" w:cs="Times"/>
          <w:color w:val="00007C"/>
          <w:sz w:val="16"/>
          <w:szCs w:val="16"/>
        </w:rPr>
        <w:t>doi:10.1016/j.tics.2011.07</w:t>
      </w:r>
      <w:r>
        <w:rPr>
          <w:rFonts w:ascii="Times" w:hAnsi="Times" w:eastAsia="Times" w:cs="Times"/>
          <w:color w:val="00007C"/>
          <w:sz w:val="16"/>
          <w:szCs w:val="16"/>
        </w:rPr>
        <w:fldChar w:fldCharType="end"/>
      </w:r>
    </w:p>
    <w:p>
      <w:pPr>
        <w:spacing w:after="0" w:line="8" w:lineRule="exact"/>
        <w:rPr>
          <w:rFonts w:ascii="Times" w:hAnsi="Times" w:eastAsia="Times" w:cs="Times"/>
          <w:i/>
          <w:iCs/>
          <w:color w:val="auto"/>
          <w:sz w:val="16"/>
          <w:szCs w:val="16"/>
        </w:rPr>
      </w:pPr>
    </w:p>
    <w:p>
      <w:pPr>
        <w:spacing w:after="0"/>
        <w:ind w:left="160"/>
        <w:rPr>
          <w:rFonts w:ascii="Times" w:hAnsi="Times" w:eastAsia="Times" w:cs="Times"/>
          <w:color w:val="00007C"/>
          <w:sz w:val="16"/>
          <w:szCs w:val="16"/>
        </w:rPr>
      </w:pPr>
      <w:r>
        <w:fldChar w:fldCharType="begin"/>
      </w:r>
      <w:r>
        <w:instrText xml:space="preserve"> HYPERLINK "http://dx.doi.org/10.1016/j.tics.2011.07.011" \h </w:instrText>
      </w:r>
      <w:r>
        <w:fldChar w:fldCharType="separate"/>
      </w:r>
      <w:r>
        <w:rPr>
          <w:rFonts w:ascii="Times" w:hAnsi="Times" w:eastAsia="Times" w:cs="Times"/>
          <w:color w:val="00007C"/>
          <w:sz w:val="16"/>
          <w:szCs w:val="16"/>
        </w:rPr>
        <w:t>.011</w:t>
      </w:r>
      <w:r>
        <w:rPr>
          <w:rFonts w:ascii="Times" w:hAnsi="Times" w:eastAsia="Times" w:cs="Times"/>
          <w:color w:val="00007C"/>
          <w:sz w:val="16"/>
          <w:szCs w:val="16"/>
        </w:rPr>
        <w:fldChar w:fldCharType="end"/>
      </w:r>
    </w:p>
    <w:p>
      <w:pPr>
        <w:spacing w:after="0" w:line="27" w:lineRule="exact"/>
        <w:rPr>
          <w:rFonts w:ascii="Times" w:hAnsi="Times" w:eastAsia="Times" w:cs="Times"/>
          <w:color w:val="auto"/>
          <w:sz w:val="16"/>
          <w:szCs w:val="16"/>
        </w:rPr>
      </w:pPr>
    </w:p>
    <w:p>
      <w:pPr>
        <w:spacing w:after="0" w:line="258"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Munoz, D. P., &amp; Everling, S. (2004). Look away: The anti-saccade task and the voluntary control of eye movement. </w:t>
      </w:r>
      <w:r>
        <w:rPr>
          <w:rFonts w:ascii="Times" w:hAnsi="Times" w:eastAsia="Times" w:cs="Times"/>
          <w:i/>
          <w:iCs/>
          <w:color w:val="auto"/>
          <w:sz w:val="16"/>
          <w:szCs w:val="16"/>
        </w:rPr>
        <w:t>Nature Reviews Neuroscience,</w:t>
      </w:r>
      <w:r>
        <w:rPr>
          <w:rFonts w:ascii="Times" w:hAnsi="Times" w:eastAsia="Times" w:cs="Times"/>
          <w:color w:val="auto"/>
          <w:sz w:val="16"/>
          <w:szCs w:val="16"/>
        </w:rPr>
        <w:t xml:space="preserve"> </w:t>
      </w:r>
      <w:r>
        <w:rPr>
          <w:rFonts w:ascii="Times" w:hAnsi="Times" w:eastAsia="Times" w:cs="Times"/>
          <w:i/>
          <w:iCs/>
          <w:color w:val="auto"/>
          <w:sz w:val="16"/>
          <w:szCs w:val="16"/>
        </w:rPr>
        <w:t xml:space="preserve">5, </w:t>
      </w:r>
      <w:r>
        <w:rPr>
          <w:rFonts w:ascii="Times" w:hAnsi="Times" w:eastAsia="Times" w:cs="Times"/>
          <w:color w:val="auto"/>
          <w:sz w:val="16"/>
          <w:szCs w:val="16"/>
        </w:rPr>
        <w:t>218 –228.</w:t>
      </w:r>
      <w:r>
        <w:rPr>
          <w:rFonts w:ascii="Times" w:hAnsi="Times" w:eastAsia="Times" w:cs="Times"/>
          <w:i/>
          <w:iCs/>
          <w:color w:val="auto"/>
          <w:sz w:val="16"/>
          <w:szCs w:val="16"/>
        </w:rPr>
        <w:t xml:space="preserve"> </w:t>
      </w:r>
      <w:r>
        <w:fldChar w:fldCharType="begin"/>
      </w:r>
      <w:r>
        <w:instrText xml:space="preserve"> HYPERLINK "http://dx.doi.org/10.1038/nrn1345" \h </w:instrText>
      </w:r>
      <w:r>
        <w:fldChar w:fldCharType="separate"/>
      </w:r>
      <w:r>
        <w:rPr>
          <w:rFonts w:ascii="Times" w:hAnsi="Times" w:eastAsia="Times" w:cs="Times"/>
          <w:color w:val="00007C"/>
          <w:sz w:val="16"/>
          <w:szCs w:val="16"/>
        </w:rPr>
        <w:t>doi:10.1038/nrn1345</w:t>
      </w:r>
      <w:r>
        <w:rPr>
          <w:rFonts w:ascii="Times" w:hAnsi="Times" w:eastAsia="Times" w:cs="Times"/>
          <w:color w:val="00007C"/>
          <w:sz w:val="16"/>
          <w:szCs w:val="16"/>
        </w:rPr>
        <w:fldChar w:fldCharType="end"/>
      </w:r>
    </w:p>
    <w:p>
      <w:pPr>
        <w:spacing w:after="0" w:line="14" w:lineRule="exact"/>
        <w:rPr>
          <w:rFonts w:ascii="Times" w:hAnsi="Times" w:eastAsia="Times" w:cs="Times"/>
          <w:color w:val="auto"/>
          <w:sz w:val="16"/>
          <w:szCs w:val="16"/>
        </w:rPr>
      </w:pPr>
    </w:p>
    <w:p>
      <w:pPr>
        <w:spacing w:after="0" w:line="263" w:lineRule="auto"/>
        <w:ind w:left="160"/>
        <w:jc w:val="both"/>
        <w:rPr>
          <w:rFonts w:ascii="Times" w:hAnsi="Times" w:eastAsia="Times" w:cs="Times"/>
          <w:color w:val="auto"/>
          <w:sz w:val="16"/>
          <w:szCs w:val="16"/>
        </w:rPr>
      </w:pPr>
      <w:r>
        <w:rPr>
          <w:rFonts w:ascii="Times" w:hAnsi="Times" w:eastAsia="Times" w:cs="Times"/>
          <w:color w:val="auto"/>
          <w:sz w:val="16"/>
          <w:szCs w:val="16"/>
        </w:rPr>
        <w:t xml:space="preserve">Nakamura, K., &amp; Hikosaka, O. (2006). Role of dopamine in the primate caudate nucleus in reward modulation of saccades. </w:t>
      </w:r>
      <w:r>
        <w:rPr>
          <w:rFonts w:ascii="Times" w:hAnsi="Times" w:eastAsia="Times" w:cs="Times"/>
          <w:i/>
          <w:iCs/>
          <w:color w:val="auto"/>
          <w:sz w:val="16"/>
          <w:szCs w:val="16"/>
        </w:rPr>
        <w:t>The Journal of</w:t>
      </w:r>
      <w:r>
        <w:rPr>
          <w:rFonts w:ascii="Times" w:hAnsi="Times" w:eastAsia="Times" w:cs="Times"/>
          <w:color w:val="auto"/>
          <w:sz w:val="16"/>
          <w:szCs w:val="16"/>
        </w:rPr>
        <w:t xml:space="preserve"> </w:t>
      </w:r>
      <w:r>
        <w:rPr>
          <w:rFonts w:ascii="Times" w:hAnsi="Times" w:eastAsia="Times" w:cs="Times"/>
          <w:i/>
          <w:iCs/>
          <w:color w:val="auto"/>
          <w:sz w:val="16"/>
          <w:szCs w:val="16"/>
        </w:rPr>
        <w:t xml:space="preserve">Neuroscience, 26, </w:t>
      </w:r>
      <w:r>
        <w:rPr>
          <w:rFonts w:ascii="Times" w:hAnsi="Times" w:eastAsia="Times" w:cs="Times"/>
          <w:color w:val="auto"/>
          <w:sz w:val="16"/>
          <w:szCs w:val="16"/>
        </w:rPr>
        <w:t>5360 –5369.</w:t>
      </w:r>
    </w:p>
    <w:p>
      <w:pPr>
        <w:spacing w:after="0" w:line="263" w:lineRule="auto"/>
        <w:ind w:left="160"/>
        <w:jc w:val="both"/>
        <w:rPr>
          <w:color w:val="auto"/>
          <w:sz w:val="20"/>
          <w:szCs w:val="20"/>
        </w:rPr>
      </w:pPr>
      <w:r>
        <w:rPr>
          <w:rFonts w:ascii="Times" w:hAnsi="Times" w:eastAsia="Times" w:cs="Times"/>
          <w:color w:val="auto"/>
          <w:sz w:val="16"/>
          <w:szCs w:val="16"/>
        </w:rPr>
        <w:t xml:space="preserve">. . . Hasegawa, N. (2000). Excitatory cortical inputs to pallidal neurons via the subthalamic nucleus in the monkey. </w:t>
      </w:r>
      <w:r>
        <w:rPr>
          <w:rFonts w:ascii="Times" w:hAnsi="Times" w:eastAsia="Times" w:cs="Times"/>
          <w:i/>
          <w:iCs/>
          <w:color w:val="auto"/>
          <w:sz w:val="16"/>
          <w:szCs w:val="16"/>
        </w:rPr>
        <w:t>Journal of Neurophysiology,</w:t>
      </w:r>
      <w:r>
        <w:rPr>
          <w:rFonts w:ascii="Times" w:hAnsi="Times" w:eastAsia="Times" w:cs="Times"/>
          <w:color w:val="auto"/>
          <w:sz w:val="16"/>
          <w:szCs w:val="16"/>
        </w:rPr>
        <w:t xml:space="preserve"> </w:t>
      </w:r>
      <w:r>
        <w:rPr>
          <w:rFonts w:ascii="Times" w:hAnsi="Times" w:eastAsia="Times" w:cs="Times"/>
          <w:i/>
          <w:iCs/>
          <w:color w:val="auto"/>
          <w:sz w:val="16"/>
          <w:szCs w:val="16"/>
        </w:rPr>
        <w:t xml:space="preserve">84, </w:t>
      </w:r>
      <w:r>
        <w:rPr>
          <w:rFonts w:ascii="Times" w:hAnsi="Times" w:eastAsia="Times" w:cs="Times"/>
          <w:color w:val="auto"/>
          <w:sz w:val="16"/>
          <w:szCs w:val="16"/>
        </w:rPr>
        <w:t>289 –300.</w:t>
      </w:r>
    </w:p>
    <w:p>
      <w:pPr>
        <w:spacing w:after="0" w:line="14" w:lineRule="exact"/>
        <w:rPr>
          <w:rFonts w:ascii="Times" w:hAnsi="Times" w:eastAsia="Times" w:cs="Times"/>
          <w:color w:val="auto"/>
          <w:sz w:val="16"/>
          <w:szCs w:val="16"/>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Nambu, A., Tokuno, H., &amp; Takada, M. (2002). Functional significance of the cortico-subthalamo-pallidal “hyperdirect” pathway. </w:t>
      </w:r>
      <w:r>
        <w:rPr>
          <w:rFonts w:ascii="Times" w:hAnsi="Times" w:eastAsia="Times" w:cs="Times"/>
          <w:i/>
          <w:iCs/>
          <w:color w:val="auto"/>
          <w:sz w:val="16"/>
          <w:szCs w:val="16"/>
        </w:rPr>
        <w:t>Neuroscience</w:t>
      </w:r>
      <w:r>
        <w:rPr>
          <w:rFonts w:ascii="Times" w:hAnsi="Times" w:eastAsia="Times" w:cs="Times"/>
          <w:color w:val="auto"/>
          <w:sz w:val="16"/>
          <w:szCs w:val="16"/>
        </w:rPr>
        <w:t xml:space="preserve"> </w:t>
      </w:r>
      <w:r>
        <w:rPr>
          <w:rFonts w:ascii="Times" w:hAnsi="Times" w:eastAsia="Times" w:cs="Times"/>
          <w:i/>
          <w:iCs/>
          <w:color w:val="auto"/>
          <w:sz w:val="16"/>
          <w:szCs w:val="16"/>
        </w:rPr>
        <w:t xml:space="preserve">Research, 43, </w:t>
      </w:r>
      <w:r>
        <w:rPr>
          <w:rFonts w:ascii="Times" w:hAnsi="Times" w:eastAsia="Times" w:cs="Times"/>
          <w:color w:val="auto"/>
          <w:sz w:val="16"/>
          <w:szCs w:val="16"/>
        </w:rPr>
        <w:t>111–117.</w:t>
      </w:r>
      <w:r>
        <w:rPr>
          <w:rFonts w:ascii="Times" w:hAnsi="Times" w:eastAsia="Times" w:cs="Times"/>
          <w:i/>
          <w:iCs/>
          <w:color w:val="auto"/>
          <w:sz w:val="16"/>
          <w:szCs w:val="16"/>
        </w:rPr>
        <w:t xml:space="preserve"> </w:t>
      </w:r>
      <w:r>
        <w:fldChar w:fldCharType="begin"/>
      </w:r>
      <w:r>
        <w:instrText xml:space="preserve"> HYPERLINK "http://dx.doi.org/10.1016/S0168-0102%2802%2900027-5" \h </w:instrText>
      </w:r>
      <w:r>
        <w:fldChar w:fldCharType="separate"/>
      </w:r>
      <w:r>
        <w:rPr>
          <w:rFonts w:ascii="Times" w:hAnsi="Times" w:eastAsia="Times" w:cs="Times"/>
          <w:color w:val="00007C"/>
          <w:sz w:val="16"/>
          <w:szCs w:val="16"/>
        </w:rPr>
        <w:t>doi:10.1016/S0168-0102(02)00027-5</w:t>
      </w:r>
      <w:r>
        <w:rPr>
          <w:rFonts w:ascii="Times" w:hAnsi="Times" w:eastAsia="Times" w:cs="Times"/>
          <w:color w:val="00007C"/>
          <w:sz w:val="16"/>
          <w:szCs w:val="16"/>
        </w:rPr>
        <w:fldChar w:fldCharType="end"/>
      </w:r>
    </w:p>
    <w:p>
      <w:pPr>
        <w:spacing w:after="0" w:line="14" w:lineRule="exact"/>
        <w:rPr>
          <w:rFonts w:ascii="Times" w:hAnsi="Times" w:eastAsia="Times" w:cs="Times"/>
          <w:color w:val="auto"/>
          <w:sz w:val="16"/>
          <w:szCs w:val="16"/>
        </w:rPr>
      </w:pPr>
    </w:p>
    <w:p>
      <w:pPr>
        <w:spacing w:after="0" w:line="266"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Neubert, F.-X., Mars, R. B., Buch, E. R., Olivier, E., &amp; Rushworth, M. F. S. (2010). Cortical and subcortical interactions during action reprogramming and their related white matter pathways. </w:t>
      </w:r>
      <w:r>
        <w:rPr>
          <w:rFonts w:ascii="Times" w:hAnsi="Times" w:eastAsia="Times" w:cs="Times"/>
          <w:i/>
          <w:iCs/>
          <w:color w:val="auto"/>
          <w:sz w:val="16"/>
          <w:szCs w:val="16"/>
        </w:rPr>
        <w:t>Proceedings of</w:t>
      </w:r>
      <w:r>
        <w:rPr>
          <w:rFonts w:ascii="Times" w:hAnsi="Times" w:eastAsia="Times" w:cs="Times"/>
          <w:color w:val="auto"/>
          <w:sz w:val="16"/>
          <w:szCs w:val="16"/>
        </w:rPr>
        <w:t xml:space="preserve"> </w:t>
      </w:r>
      <w:r>
        <w:rPr>
          <w:rFonts w:ascii="Times" w:hAnsi="Times" w:eastAsia="Times" w:cs="Times"/>
          <w:i/>
          <w:iCs/>
          <w:color w:val="auto"/>
          <w:sz w:val="16"/>
          <w:szCs w:val="16"/>
        </w:rPr>
        <w:t xml:space="preserve">the National Academy of Sciences, USA, 107, </w:t>
      </w:r>
      <w:r>
        <w:rPr>
          <w:rFonts w:ascii="Times" w:hAnsi="Times" w:eastAsia="Times" w:cs="Times"/>
          <w:color w:val="auto"/>
          <w:sz w:val="16"/>
          <w:szCs w:val="16"/>
        </w:rPr>
        <w:t>13240 –13245.</w:t>
      </w:r>
      <w:r>
        <w:rPr>
          <w:rFonts w:ascii="Times" w:hAnsi="Times" w:eastAsia="Times" w:cs="Times"/>
          <w:i/>
          <w:iCs/>
          <w:color w:val="auto"/>
          <w:sz w:val="16"/>
          <w:szCs w:val="16"/>
        </w:rPr>
        <w:t xml:space="preserve"> </w:t>
      </w:r>
      <w:r>
        <w:fldChar w:fldCharType="begin"/>
      </w:r>
      <w:r>
        <w:instrText xml:space="preserve"> HYPERLINK "http://dx.doi.org/10.1073/pnas.1000674107"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fldChar w:fldCharType="begin"/>
      </w:r>
      <w:r>
        <w:instrText xml:space="preserve"> HYPERLINK "http://dx.doi.org/10.1073/pnas.1000674107" \h </w:instrText>
      </w:r>
      <w:r>
        <w:fldChar w:fldCharType="separate"/>
      </w:r>
      <w:r>
        <w:rPr>
          <w:rFonts w:ascii="Times" w:hAnsi="Times" w:eastAsia="Times" w:cs="Times"/>
          <w:color w:val="00007C"/>
          <w:sz w:val="16"/>
          <w:szCs w:val="16"/>
        </w:rPr>
        <w:t>10.1073/pnas.1000674107</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Nieuwenhuis, S., Broerse, A., Nielen, M. M. A., &amp; de Jong, R. (2004). A goal activation approach to the study of executive function: An appli-cation to antisaccade tasks. </w:t>
      </w:r>
      <w:r>
        <w:rPr>
          <w:rFonts w:ascii="Times" w:hAnsi="Times" w:eastAsia="Times" w:cs="Times"/>
          <w:i/>
          <w:iCs/>
          <w:color w:val="auto"/>
          <w:sz w:val="16"/>
          <w:szCs w:val="16"/>
        </w:rPr>
        <w:t>Brain and Cognition, 56,</w:t>
      </w:r>
      <w:r>
        <w:rPr>
          <w:rFonts w:ascii="Times" w:hAnsi="Times" w:eastAsia="Times" w:cs="Times"/>
          <w:color w:val="auto"/>
          <w:sz w:val="16"/>
          <w:szCs w:val="16"/>
        </w:rPr>
        <w:t xml:space="preserve"> 198 –214. </w:t>
      </w:r>
      <w:r>
        <w:fldChar w:fldCharType="begin"/>
      </w:r>
      <w:r>
        <w:instrText xml:space="preserve"> HYPERLINK "http://dx.doi.org/10.1016/j.bandc.2003.12.002"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"http://dx.doi.org/10.1016/j.bandc.2003.12.002" \h </w:instrText>
      </w:r>
      <w:r>
        <w:fldChar w:fldCharType="separate"/>
      </w:r>
      <w:r>
        <w:rPr>
          <w:rFonts w:ascii="Times" w:hAnsi="Times" w:eastAsia="Times" w:cs="Times"/>
          <w:color w:val="00007C"/>
          <w:sz w:val="16"/>
          <w:szCs w:val="16"/>
        </w:rPr>
        <w:t>10.1016/j.bandc.2003.12.002</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57"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Nigg, J. T. (2001). Is ADHD a disinhibitory disorder? </w:t>
      </w:r>
      <w:r>
        <w:rPr>
          <w:rFonts w:ascii="Times" w:hAnsi="Times" w:eastAsia="Times" w:cs="Times"/>
          <w:i/>
          <w:iCs/>
          <w:color w:val="auto"/>
          <w:sz w:val="16"/>
          <w:szCs w:val="16"/>
        </w:rPr>
        <w:t>Psychological</w:t>
      </w:r>
      <w:r>
        <w:rPr>
          <w:rFonts w:ascii="Times" w:hAnsi="Times" w:eastAsia="Times" w:cs="Times"/>
          <w:color w:val="auto"/>
          <w:sz w:val="16"/>
          <w:szCs w:val="16"/>
        </w:rPr>
        <w:t xml:space="preserve"> </w:t>
      </w:r>
      <w:r>
        <w:rPr>
          <w:rFonts w:ascii="Times" w:hAnsi="Times" w:eastAsia="Times" w:cs="Times"/>
          <w:i/>
          <w:iCs/>
          <w:color w:val="auto"/>
          <w:sz w:val="16"/>
          <w:szCs w:val="16"/>
        </w:rPr>
        <w:t xml:space="preserve">Bulletin, 127, </w:t>
      </w:r>
      <w:r>
        <w:rPr>
          <w:rFonts w:ascii="Times" w:hAnsi="Times" w:eastAsia="Times" w:cs="Times"/>
          <w:color w:val="auto"/>
          <w:sz w:val="16"/>
          <w:szCs w:val="16"/>
        </w:rPr>
        <w:t>571–598.</w:t>
      </w:r>
      <w:r>
        <w:rPr>
          <w:rFonts w:ascii="Times" w:hAnsi="Times" w:eastAsia="Times" w:cs="Times"/>
          <w:i/>
          <w:iCs/>
          <w:color w:val="auto"/>
          <w:sz w:val="16"/>
          <w:szCs w:val="16"/>
        </w:rPr>
        <w:t xml:space="preserve"> </w:t>
      </w:r>
      <w:r>
        <w:fldChar w:fldCharType="begin"/>
      </w:r>
      <w:r>
        <w:instrText xml:space="preserve"> HYPERLINK "http://dx.doi.org/10.1037/0033-2909.127.5.571" \h </w:instrText>
      </w:r>
      <w:r>
        <w:fldChar w:fldCharType="separate"/>
      </w:r>
      <w:r>
        <w:rPr>
          <w:rFonts w:ascii="Times" w:hAnsi="Times" w:eastAsia="Times" w:cs="Times"/>
          <w:color w:val="00007C"/>
          <w:sz w:val="16"/>
          <w:szCs w:val="16"/>
        </w:rPr>
        <w:t>doi:10.1037/0033-2909.127.5.571</w:t>
      </w:r>
      <w:r>
        <w:rPr>
          <w:rFonts w:ascii="Times" w:hAnsi="Times" w:eastAsia="Times" w:cs="Times"/>
          <w:color w:val="00007C"/>
          <w:sz w:val="16"/>
          <w:szCs w:val="16"/>
        </w:rPr>
        <w:fldChar w:fldCharType="end"/>
      </w:r>
    </w:p>
    <w:p>
      <w:pPr>
        <w:spacing w:after="0" w:line="18" w:lineRule="exact"/>
        <w:rPr>
          <w:color w:val="auto"/>
          <w:sz w:val="20"/>
          <w:szCs w:val="20"/>
        </w:rPr>
      </w:pPr>
    </w:p>
    <w:p>
      <w:pPr>
        <w:spacing w:after="0" w:line="266"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Nigg, J. T., Wong, M. M., Martel, M. M., Jester, J. M., Puttler, L. I., Glass, J. M., . . . Zucker, R. A. (2006). Poor response inhibition as a predictor of problem drinking and illicit drug use in adolescents at risk for alcoholism and other substance use disorders. </w:t>
      </w:r>
      <w:r>
        <w:rPr>
          <w:rFonts w:ascii="Times" w:hAnsi="Times" w:eastAsia="Times" w:cs="Times"/>
          <w:i/>
          <w:iCs/>
          <w:color w:val="auto"/>
          <w:sz w:val="16"/>
          <w:szCs w:val="16"/>
        </w:rPr>
        <w:t>Journal of the American</w:t>
      </w:r>
      <w:r>
        <w:rPr>
          <w:rFonts w:ascii="Times" w:hAnsi="Times" w:eastAsia="Times" w:cs="Times"/>
          <w:color w:val="auto"/>
          <w:sz w:val="16"/>
          <w:szCs w:val="16"/>
        </w:rPr>
        <w:t xml:space="preserve"> </w:t>
      </w:r>
      <w:r>
        <w:rPr>
          <w:rFonts w:ascii="Times" w:hAnsi="Times" w:eastAsia="Times" w:cs="Times"/>
          <w:i/>
          <w:iCs/>
          <w:color w:val="auto"/>
          <w:sz w:val="16"/>
          <w:szCs w:val="16"/>
        </w:rPr>
        <w:t xml:space="preserve">Academy of Child &amp; Adolescent Psychiatry, 45, </w:t>
      </w:r>
      <w:r>
        <w:rPr>
          <w:rFonts w:ascii="Times" w:hAnsi="Times" w:eastAsia="Times" w:cs="Times"/>
          <w:color w:val="auto"/>
          <w:sz w:val="16"/>
          <w:szCs w:val="16"/>
        </w:rPr>
        <w:t>468 – 475.</w:t>
      </w:r>
      <w:r>
        <w:rPr>
          <w:rFonts w:ascii="Times" w:hAnsi="Times" w:eastAsia="Times" w:cs="Times"/>
          <w:i/>
          <w:iCs/>
          <w:color w:val="auto"/>
          <w:sz w:val="16"/>
          <w:szCs w:val="16"/>
        </w:rPr>
        <w:t xml:space="preserve"> </w:t>
      </w:r>
      <w:r>
        <w:fldChar w:fldCharType="begin"/>
      </w:r>
      <w:r>
        <w:instrText xml:space="preserve"> HYPERLINK "http://dx.doi.org/10.1097/01.chi.0000199028.76452.a9" \h </w:instrText>
      </w:r>
      <w:r>
        <w:fldChar w:fldCharType="separate"/>
      </w:r>
      <w:r>
        <w:rPr>
          <w:rFonts w:ascii="Times" w:hAnsi="Times" w:eastAsia="Times" w:cs="Times"/>
          <w:color w:val="00007C"/>
          <w:sz w:val="16"/>
          <w:szCs w:val="16"/>
        </w:rPr>
        <w:t>doi:10.1097/</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fldChar w:fldCharType="begin"/>
      </w:r>
      <w:r>
        <w:instrText xml:space="preserve"> HYPERLINK "http://dx.doi.org/10.1097/01.chi.0000199028.76452.a9" \h </w:instrText>
      </w:r>
      <w:r>
        <w:fldChar w:fldCharType="separate"/>
      </w:r>
      <w:r>
        <w:rPr>
          <w:rFonts w:ascii="Times" w:hAnsi="Times" w:eastAsia="Times" w:cs="Times"/>
          <w:color w:val="00007C"/>
          <w:sz w:val="16"/>
          <w:szCs w:val="16"/>
        </w:rPr>
        <w:t>01.chi.0000199028.76452.a9</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65" w:lineRule="auto"/>
        <w:ind w:left="160" w:hanging="159"/>
        <w:jc w:val="both"/>
        <w:rPr>
          <w:color w:val="auto"/>
          <w:sz w:val="20"/>
          <w:szCs w:val="20"/>
        </w:rPr>
      </w:pPr>
      <w:r>
        <w:rPr>
          <w:rFonts w:ascii="Times" w:hAnsi="Times" w:eastAsia="Times" w:cs="Times"/>
          <w:color w:val="auto"/>
          <w:sz w:val="16"/>
          <w:szCs w:val="16"/>
        </w:rPr>
        <w:t xml:space="preserve">Obeso, I., Wilkinson, L., Casabona, E., Bringas, M. L., Alvarez, M., Alvarez, L., . . . Jahanshahi, M. (2011). Deficits in inhibitory control and conflict resolution on cognitive and motor tasks in Parkinson’s disease. </w:t>
      </w:r>
      <w:r>
        <w:rPr>
          <w:rFonts w:ascii="Times" w:hAnsi="Times" w:eastAsia="Times" w:cs="Times"/>
          <w:i/>
          <w:iCs/>
          <w:color w:val="auto"/>
          <w:sz w:val="16"/>
          <w:szCs w:val="16"/>
        </w:rPr>
        <w:t xml:space="preserve">Experimental Brain Research, 212, </w:t>
      </w:r>
      <w:r>
        <w:rPr>
          <w:rFonts w:ascii="Times" w:hAnsi="Times" w:eastAsia="Times" w:cs="Times"/>
          <w:color w:val="auto"/>
          <w:sz w:val="16"/>
          <w:szCs w:val="16"/>
        </w:rPr>
        <w:t>371–384.</w:t>
      </w:r>
    </w:p>
    <w:p>
      <w:pPr>
        <w:spacing w:after="0" w:line="11"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Obeso, I., Wilkinson, L., &amp; Jahanshahi, M. (2011). Levodopa medication does not influence motor inhibition or conflict resolution in a conditional stop-signal task in Parkinson’s disease. </w:t>
      </w:r>
      <w:r>
        <w:rPr>
          <w:rFonts w:ascii="Times" w:hAnsi="Times" w:eastAsia="Times" w:cs="Times"/>
          <w:i/>
          <w:iCs/>
          <w:color w:val="auto"/>
          <w:sz w:val="16"/>
          <w:szCs w:val="16"/>
        </w:rPr>
        <w:t>Experimental Brain Research,</w:t>
      </w:r>
      <w:r>
        <w:rPr>
          <w:rFonts w:ascii="Times" w:hAnsi="Times" w:eastAsia="Times" w:cs="Times"/>
          <w:color w:val="auto"/>
          <w:sz w:val="16"/>
          <w:szCs w:val="16"/>
        </w:rPr>
        <w:t xml:space="preserve"> </w:t>
      </w:r>
      <w:r>
        <w:rPr>
          <w:rFonts w:ascii="Times" w:hAnsi="Times" w:eastAsia="Times" w:cs="Times"/>
          <w:i/>
          <w:iCs/>
          <w:color w:val="auto"/>
          <w:sz w:val="16"/>
          <w:szCs w:val="16"/>
        </w:rPr>
        <w:t xml:space="preserve">213, </w:t>
      </w:r>
      <w:r>
        <w:rPr>
          <w:rFonts w:ascii="Times" w:hAnsi="Times" w:eastAsia="Times" w:cs="Times"/>
          <w:color w:val="auto"/>
          <w:sz w:val="16"/>
          <w:szCs w:val="16"/>
        </w:rPr>
        <w:t>435– 445.</w:t>
      </w:r>
      <w:r>
        <w:rPr>
          <w:rFonts w:ascii="Times" w:hAnsi="Times" w:eastAsia="Times" w:cs="Times"/>
          <w:i/>
          <w:iCs/>
          <w:color w:val="auto"/>
          <w:sz w:val="16"/>
          <w:szCs w:val="16"/>
        </w:rPr>
        <w:t xml:space="preserve"> </w:t>
      </w:r>
      <w:r>
        <w:fldChar w:fldCharType="begin"/>
      </w:r>
      <w:r>
        <w:instrText xml:space="preserve"> HYPERLINK "http://dx.doi.org/10.1007/s00221-011-2793-x" \h </w:instrText>
      </w:r>
      <w:r>
        <w:fldChar w:fldCharType="separate"/>
      </w:r>
      <w:r>
        <w:rPr>
          <w:rFonts w:ascii="Times" w:hAnsi="Times" w:eastAsia="Times" w:cs="Times"/>
          <w:color w:val="00007C"/>
          <w:sz w:val="16"/>
          <w:szCs w:val="16"/>
        </w:rPr>
        <w:t>doi:10.1007/s00221-011-2793-x</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Oosterlaan, J., Logan, G. D., &amp; Sergeant, J. A. (1998). Response inhibition in AD/HD, CD, comorbid AD/HD CD, anxious, and control children: A meta-analysis of studies with the stop task. </w:t>
      </w:r>
      <w:r>
        <w:rPr>
          <w:rFonts w:ascii="Times" w:hAnsi="Times" w:eastAsia="Times" w:cs="Times"/>
          <w:i/>
          <w:iCs/>
          <w:color w:val="auto"/>
          <w:sz w:val="16"/>
          <w:szCs w:val="16"/>
        </w:rPr>
        <w:t xml:space="preserve">Journal of Child Psychol-ogy and Psychiatry, 39, </w:t>
      </w:r>
      <w:r>
        <w:rPr>
          <w:rFonts w:ascii="Times" w:hAnsi="Times" w:eastAsia="Times" w:cs="Times"/>
          <w:color w:val="auto"/>
          <w:sz w:val="16"/>
          <w:szCs w:val="16"/>
        </w:rPr>
        <w:t>411– 425.</w:t>
      </w:r>
      <w:r>
        <w:rPr>
          <w:rFonts w:ascii="Times" w:hAnsi="Times" w:eastAsia="Times" w:cs="Times"/>
          <w:i/>
          <w:iCs/>
          <w:color w:val="auto"/>
          <w:sz w:val="16"/>
          <w:szCs w:val="16"/>
        </w:rPr>
        <w:t xml:space="preserve"> </w:t>
      </w:r>
      <w:r>
        <w:fldChar w:fldCharType="begin"/>
      </w:r>
      <w:r>
        <w:instrText xml:space="preserve"> HYPERLINK "http://dx.doi.org/10.1017/S0021963097002072" \h </w:instrText>
      </w:r>
      <w:r>
        <w:fldChar w:fldCharType="separate"/>
      </w:r>
      <w:r>
        <w:rPr>
          <w:rFonts w:ascii="Times" w:hAnsi="Times" w:eastAsia="Times" w:cs="Times"/>
          <w:color w:val="00007C"/>
          <w:sz w:val="16"/>
          <w:szCs w:val="16"/>
        </w:rPr>
        <w:t>doi:10.1017/S0021963097002072</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O’Reilly, R. C., &amp; Frank, M. J. (2006). Making working memory work: A computational model of learning in the prefrontal cortex and basal ganglia. </w:t>
      </w:r>
      <w:r>
        <w:rPr>
          <w:rFonts w:ascii="Times" w:hAnsi="Times" w:eastAsia="Times" w:cs="Times"/>
          <w:i/>
          <w:iCs/>
          <w:color w:val="auto"/>
          <w:sz w:val="16"/>
          <w:szCs w:val="16"/>
        </w:rPr>
        <w:t>Neural Computation, 18,</w:t>
      </w:r>
      <w:r>
        <w:rPr>
          <w:rFonts w:ascii="Times" w:hAnsi="Times" w:eastAsia="Times" w:cs="Times"/>
          <w:color w:val="auto"/>
          <w:sz w:val="16"/>
          <w:szCs w:val="16"/>
        </w:rPr>
        <w:t xml:space="preserve"> 283–328. </w:t>
      </w:r>
      <w:r>
        <w:fldChar w:fldCharType="begin"/>
      </w:r>
      <w:r>
        <w:instrText xml:space="preserve"> HYPERLINK "http://dx.doi.org/10.1162/089976606775093909" \h </w:instrText>
      </w:r>
      <w:r>
        <w:fldChar w:fldCharType="separate"/>
      </w:r>
      <w:r>
        <w:rPr>
          <w:rFonts w:ascii="Times" w:hAnsi="Times" w:eastAsia="Times" w:cs="Times"/>
          <w:color w:val="00007C"/>
          <w:sz w:val="16"/>
          <w:szCs w:val="16"/>
        </w:rPr>
        <w:t>doi:10.1162/</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"http://dx.doi.org/10.1162/089976606775093909" \h </w:instrText>
      </w:r>
      <w:r>
        <w:fldChar w:fldCharType="separate"/>
      </w:r>
      <w:r>
        <w:rPr>
          <w:rFonts w:ascii="Times" w:hAnsi="Times" w:eastAsia="Times" w:cs="Times"/>
          <w:color w:val="00007C"/>
          <w:sz w:val="16"/>
          <w:szCs w:val="16"/>
        </w:rPr>
        <w:t>089976606775093909</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3" w:lineRule="auto"/>
        <w:ind w:left="160" w:hanging="159"/>
        <w:jc w:val="both"/>
        <w:rPr>
          <w:color w:val="auto"/>
          <w:sz w:val="20"/>
          <w:szCs w:val="20"/>
        </w:rPr>
      </w:pPr>
      <w:r>
        <w:rPr>
          <w:rFonts w:ascii="Times" w:hAnsi="Times" w:eastAsia="Times" w:cs="Times"/>
          <w:color w:val="auto"/>
          <w:sz w:val="16"/>
          <w:szCs w:val="16"/>
        </w:rPr>
        <w:t xml:space="preserve">O’Reilly, R. C., &amp; Munakata, Y. (2000). </w:t>
      </w:r>
      <w:r>
        <w:rPr>
          <w:rFonts w:ascii="Times" w:hAnsi="Times" w:eastAsia="Times" w:cs="Times"/>
          <w:i/>
          <w:iCs/>
          <w:color w:val="auto"/>
          <w:sz w:val="16"/>
          <w:szCs w:val="16"/>
        </w:rPr>
        <w:t>Computational explorations in</w:t>
      </w:r>
      <w:r>
        <w:rPr>
          <w:rFonts w:ascii="Times" w:hAnsi="Times" w:eastAsia="Times" w:cs="Times"/>
          <w:color w:val="auto"/>
          <w:sz w:val="16"/>
          <w:szCs w:val="16"/>
        </w:rPr>
        <w:t xml:space="preserve"> </w:t>
      </w:r>
      <w:r>
        <w:rPr>
          <w:rFonts w:ascii="Times" w:hAnsi="Times" w:eastAsia="Times" w:cs="Times"/>
          <w:i/>
          <w:iCs/>
          <w:color w:val="auto"/>
          <w:sz w:val="16"/>
          <w:szCs w:val="16"/>
        </w:rPr>
        <w:t>cognitive neuroscience: Understanding the mind by simulating the brain</w:t>
      </w:r>
      <w:r>
        <w:rPr>
          <w:rFonts w:ascii="Times" w:hAnsi="Times" w:eastAsia="Times" w:cs="Times"/>
          <w:color w:val="auto"/>
          <w:sz w:val="16"/>
          <w:szCs w:val="16"/>
        </w:rPr>
        <w:t>. Cambridge, MA: MIT Press.</w:t>
      </w:r>
    </w:p>
    <w:p>
      <w:pPr>
        <w:spacing w:after="0" w:line="13"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Osman, A., Kornblum, S., &amp; Meyer, D. E. (1986). The point of no return in choice reaction time: Controlled and ballistic stages of response preparation. </w:t>
      </w:r>
      <w:r>
        <w:rPr>
          <w:rFonts w:ascii="Times" w:hAnsi="Times" w:eastAsia="Times" w:cs="Times"/>
          <w:i/>
          <w:iCs/>
          <w:color w:val="auto"/>
          <w:sz w:val="16"/>
          <w:szCs w:val="16"/>
        </w:rPr>
        <w:t>Journal of Experimental Psychology: Human Perception</w:t>
      </w:r>
      <w:r>
        <w:rPr>
          <w:rFonts w:ascii="Times" w:hAnsi="Times" w:eastAsia="Times" w:cs="Times"/>
          <w:color w:val="auto"/>
          <w:sz w:val="16"/>
          <w:szCs w:val="16"/>
        </w:rPr>
        <w:t xml:space="preserve"> </w:t>
      </w:r>
      <w:r>
        <w:rPr>
          <w:rFonts w:ascii="Times" w:hAnsi="Times" w:eastAsia="Times" w:cs="Times"/>
          <w:i/>
          <w:iCs/>
          <w:color w:val="auto"/>
          <w:sz w:val="16"/>
          <w:szCs w:val="16"/>
        </w:rPr>
        <w:t xml:space="preserve">and Performance, 12, </w:t>
      </w:r>
      <w:r>
        <w:rPr>
          <w:rFonts w:ascii="Times" w:hAnsi="Times" w:eastAsia="Times" w:cs="Times"/>
          <w:color w:val="auto"/>
          <w:sz w:val="16"/>
          <w:szCs w:val="16"/>
        </w:rPr>
        <w:t>243–258.</w:t>
      </w:r>
      <w:r>
        <w:rPr>
          <w:rFonts w:ascii="Times" w:hAnsi="Times" w:eastAsia="Times" w:cs="Times"/>
          <w:i/>
          <w:iCs/>
          <w:color w:val="auto"/>
          <w:sz w:val="16"/>
          <w:szCs w:val="16"/>
        </w:rPr>
        <w:t xml:space="preserve"> </w:t>
      </w:r>
      <w:r>
        <w:fldChar w:fldCharType="begin"/>
      </w:r>
      <w:r>
        <w:instrText xml:space="preserve"> HYPERLINK "http://dx.doi.org/10.1037/0096-1523.12.3.243" \h </w:instrText>
      </w:r>
      <w:r>
        <w:fldChar w:fldCharType="separate"/>
      </w:r>
      <w:r>
        <w:rPr>
          <w:rFonts w:ascii="Times" w:hAnsi="Times" w:eastAsia="Times" w:cs="Times"/>
          <w:color w:val="00007C"/>
          <w:sz w:val="16"/>
          <w:szCs w:val="16"/>
        </w:rPr>
        <w:t>doi:10.1037/0096-1523.12.3.243</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Palminteri, S., Lebreton, M., Worbe, Y., Grabli, D., Hartmann, A., &amp; Pessiglione, M. (2009). Pharmacological modulation of subliminal learning in Parkinson’s and Tourette’s syndromes. </w:t>
      </w:r>
      <w:r>
        <w:rPr>
          <w:rFonts w:ascii="Times" w:hAnsi="Times" w:eastAsia="Times" w:cs="Times"/>
          <w:i/>
          <w:iCs/>
          <w:color w:val="auto"/>
          <w:sz w:val="16"/>
          <w:szCs w:val="16"/>
        </w:rPr>
        <w:t>Proceedings of the</w:t>
      </w:r>
      <w:r>
        <w:rPr>
          <w:rFonts w:ascii="Times" w:hAnsi="Times" w:eastAsia="Times" w:cs="Times"/>
          <w:color w:val="auto"/>
          <w:sz w:val="16"/>
          <w:szCs w:val="16"/>
        </w:rPr>
        <w:t xml:space="preserve"> </w:t>
      </w:r>
      <w:r>
        <w:rPr>
          <w:rFonts w:ascii="Times" w:hAnsi="Times" w:eastAsia="Times" w:cs="Times"/>
          <w:i/>
          <w:iCs/>
          <w:color w:val="auto"/>
          <w:sz w:val="16"/>
          <w:szCs w:val="16"/>
        </w:rPr>
        <w:t xml:space="preserve">National Academy of Sciences, USA, 106, </w:t>
      </w:r>
      <w:r>
        <w:rPr>
          <w:rFonts w:ascii="Times" w:hAnsi="Times" w:eastAsia="Times" w:cs="Times"/>
          <w:color w:val="auto"/>
          <w:sz w:val="16"/>
          <w:szCs w:val="16"/>
        </w:rPr>
        <w:t>19179 –19184.</w:t>
      </w:r>
      <w:r>
        <w:rPr>
          <w:rFonts w:ascii="Times" w:hAnsi="Times" w:eastAsia="Times" w:cs="Times"/>
          <w:i/>
          <w:iCs/>
          <w:color w:val="auto"/>
          <w:sz w:val="16"/>
          <w:szCs w:val="16"/>
        </w:rPr>
        <w:t xml:space="preserve"> </w:t>
      </w:r>
      <w:r>
        <w:fldChar w:fldCharType="begin"/>
      </w:r>
      <w:r>
        <w:instrText xml:space="preserve"> HYPERLINK "http://dx.doi.org/10.1073/pnas.0904035106" \h </w:instrText>
      </w:r>
      <w:r>
        <w:fldChar w:fldCharType="separate"/>
      </w:r>
      <w:r>
        <w:rPr>
          <w:rFonts w:ascii="Times" w:hAnsi="Times" w:eastAsia="Times" w:cs="Times"/>
          <w:color w:val="00007C"/>
          <w:sz w:val="16"/>
          <w:szCs w:val="16"/>
        </w:rPr>
        <w:t>doi:10.1073/</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fldChar w:fldCharType="begin"/>
      </w:r>
      <w:r>
        <w:instrText xml:space="preserve"> HYPERLINK "http://dx.doi.org/10.1073/pnas.0904035106" \h </w:instrText>
      </w:r>
      <w:r>
        <w:fldChar w:fldCharType="separate"/>
      </w:r>
      <w:r>
        <w:rPr>
          <w:rFonts w:ascii="Times" w:hAnsi="Times" w:eastAsia="Times" w:cs="Times"/>
          <w:color w:val="00007C"/>
          <w:sz w:val="16"/>
          <w:szCs w:val="16"/>
        </w:rPr>
        <w:t>pnas.0904035106</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3" w:lineRule="auto"/>
        <w:ind w:left="160" w:hanging="159"/>
        <w:jc w:val="both"/>
        <w:rPr>
          <w:color w:val="auto"/>
          <w:sz w:val="20"/>
          <w:szCs w:val="20"/>
        </w:rPr>
      </w:pPr>
      <w:r>
        <w:rPr>
          <w:rFonts w:ascii="Times" w:hAnsi="Times" w:eastAsia="Times" w:cs="Times"/>
          <w:color w:val="auto"/>
          <w:sz w:val="16"/>
          <w:szCs w:val="16"/>
        </w:rPr>
        <w:t xml:space="preserve">Paré, M., &amp; Hanes, D. P. (2003). Controlled movement processing: Supe-rior colliculus activity associated with countermanded saccades. </w:t>
      </w:r>
      <w:r>
        <w:rPr>
          <w:rFonts w:ascii="Times" w:hAnsi="Times" w:eastAsia="Times" w:cs="Times"/>
          <w:i/>
          <w:iCs/>
          <w:color w:val="auto"/>
          <w:sz w:val="16"/>
          <w:szCs w:val="16"/>
        </w:rPr>
        <w:t>The</w:t>
      </w:r>
      <w:r>
        <w:rPr>
          <w:rFonts w:ascii="Times" w:hAnsi="Times" w:eastAsia="Times" w:cs="Times"/>
          <w:color w:val="auto"/>
          <w:sz w:val="16"/>
          <w:szCs w:val="16"/>
        </w:rPr>
        <w:t xml:space="preserve"> </w:t>
      </w:r>
      <w:r>
        <w:rPr>
          <w:rFonts w:ascii="Times" w:hAnsi="Times" w:eastAsia="Times" w:cs="Times"/>
          <w:i/>
          <w:iCs/>
          <w:color w:val="auto"/>
          <w:sz w:val="16"/>
          <w:szCs w:val="16"/>
        </w:rPr>
        <w:t xml:space="preserve">Journal of Neuroscience, 23, </w:t>
      </w:r>
      <w:r>
        <w:rPr>
          <w:rFonts w:ascii="Times" w:hAnsi="Times" w:eastAsia="Times" w:cs="Times"/>
          <w:color w:val="auto"/>
          <w:sz w:val="16"/>
          <w:szCs w:val="16"/>
        </w:rPr>
        <w:t>6480 – 6489.</w:t>
      </w:r>
    </w:p>
    <w:p>
      <w:pPr>
        <w:spacing w:after="0" w:line="13"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Parent, A., &amp; Hazrati, L. N. (1995). Functional anatomy of the basal ganglia: II. The place of sub-thalamic nucleus and external pallidum in basal ganglia circuitry. </w:t>
      </w:r>
      <w:r>
        <w:rPr>
          <w:rFonts w:ascii="Times" w:hAnsi="Times" w:eastAsia="Times" w:cs="Times"/>
          <w:i/>
          <w:iCs/>
          <w:color w:val="auto"/>
          <w:sz w:val="16"/>
          <w:szCs w:val="16"/>
        </w:rPr>
        <w:t>Brain Research Reviews, 20,</w:t>
      </w:r>
      <w:r>
        <w:rPr>
          <w:rFonts w:ascii="Times" w:hAnsi="Times" w:eastAsia="Times" w:cs="Times"/>
          <w:color w:val="auto"/>
          <w:sz w:val="16"/>
          <w:szCs w:val="16"/>
        </w:rPr>
        <w:t xml:space="preserve"> 128 –154. </w:t>
      </w:r>
      <w:r>
        <w:fldChar w:fldCharType="begin"/>
      </w:r>
      <w:r>
        <w:instrText xml:space="preserve"> HYPERLINK "http://dx.doi.org/10.1016/0165-0173%2894%2900008-D"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"http://dx.doi.org/10.1016/0165-0173%2894%2900008-D" \h </w:instrText>
      </w:r>
      <w:r>
        <w:fldChar w:fldCharType="separate"/>
      </w:r>
      <w:r>
        <w:rPr>
          <w:rFonts w:ascii="Times" w:hAnsi="Times" w:eastAsia="Times" w:cs="Times"/>
          <w:color w:val="00007C"/>
          <w:sz w:val="16"/>
          <w:szCs w:val="16"/>
        </w:rPr>
        <w:t>10.1016/0165-0173(94)00008-D</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3"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Parmentier, F. B. R., Elford, G., Escera, C., Andrés, P., &amp; San Miguel, I. (2008). The cognitive locus of distraction by acoustic novelty in the cross-modal oddball task. </w:t>
      </w:r>
      <w:r>
        <w:rPr>
          <w:rFonts w:ascii="Times" w:hAnsi="Times" w:eastAsia="Times" w:cs="Times"/>
          <w:i/>
          <w:iCs/>
          <w:color w:val="auto"/>
          <w:sz w:val="16"/>
          <w:szCs w:val="16"/>
        </w:rPr>
        <w:t>Cognition, 106,</w:t>
      </w:r>
      <w:r>
        <w:rPr>
          <w:rFonts w:ascii="Times" w:hAnsi="Times" w:eastAsia="Times" w:cs="Times"/>
          <w:color w:val="auto"/>
          <w:sz w:val="16"/>
          <w:szCs w:val="16"/>
        </w:rPr>
        <w:t xml:space="preserve"> 408 – 432. </w:t>
      </w:r>
      <w:r>
        <w:fldChar w:fldCharType="begin"/>
      </w:r>
      <w:r>
        <w:instrText xml:space="preserve"> HYPERLINK "http://dx.doi.org/10.1016/j.cognition.2007.03.008" \h </w:instrText>
      </w:r>
      <w:r>
        <w:fldChar w:fldCharType="separate"/>
      </w:r>
      <w:r>
        <w:rPr>
          <w:rFonts w:ascii="Times" w:hAnsi="Times" w:eastAsia="Times" w:cs="Times"/>
          <w:color w:val="00007C"/>
          <w:sz w:val="16"/>
          <w:szCs w:val="16"/>
        </w:rPr>
        <w:t>doi:10.1016/j</w:t>
      </w:r>
      <w:r>
        <w:rPr>
          <w:rFonts w:ascii="Times" w:hAnsi="Times" w:eastAsia="Times" w:cs="Times"/>
          <w:color w:val="00007C"/>
          <w:sz w:val="16"/>
          <w:szCs w:val="16"/>
        </w:rPr>
        <w:fldChar w:fldCharType="end"/>
      </w:r>
    </w:p>
    <w:p>
      <w:pPr>
        <w:spacing w:after="0" w:line="5" w:lineRule="exact"/>
        <w:rPr>
          <w:color w:val="auto"/>
          <w:sz w:val="20"/>
          <w:szCs w:val="20"/>
        </w:rPr>
      </w:pPr>
    </w:p>
    <w:p>
      <w:pPr>
        <w:numPr>
          <w:ilvl w:val="0"/>
          <w:numId w:val="0"/>
        </w:numPr>
        <w:ind w:firstLine="420" w:firstLineChars="200"/>
        <w:rPr>
          <w:rFonts w:ascii="Times" w:hAnsi="Times" w:eastAsia="Times" w:cs="Times"/>
          <w:color w:val="00007C"/>
          <w:sz w:val="16"/>
          <w:szCs w:val="16"/>
        </w:rPr>
      </w:pPr>
      <w:r>
        <w:fldChar w:fldCharType="begin"/>
      </w:r>
      <w:r>
        <w:instrText xml:space="preserve"> HYPERLINK "http://dx.doi.org/10.1016/j.cognition.2007.03.008" \h </w:instrText>
      </w:r>
      <w:r>
        <w:fldChar w:fldCharType="separate"/>
      </w:r>
      <w:r>
        <w:rPr>
          <w:rFonts w:ascii="Times" w:hAnsi="Times" w:eastAsia="Times" w:cs="Times"/>
          <w:color w:val="00007C"/>
          <w:sz w:val="16"/>
          <w:szCs w:val="16"/>
        </w:rPr>
        <w:t>.cognition.2007.03.008</w:t>
      </w:r>
      <w:r>
        <w:rPr>
          <w:rFonts w:ascii="Times" w:hAnsi="Times" w:eastAsia="Times" w:cs="Times"/>
          <w:color w:val="00007C"/>
          <w:sz w:val="16"/>
          <w:szCs w:val="16"/>
        </w:rPr>
        <w:fldChar w:fldCharType="end"/>
      </w:r>
    </w:p>
    <w:p>
      <w:pPr>
        <w:spacing w:after="0"/>
        <w:rPr>
          <w:color w:val="auto"/>
          <w:sz w:val="20"/>
          <w:szCs w:val="20"/>
        </w:rPr>
      </w:pPr>
      <w:r>
        <w:rPr>
          <w:rFonts w:ascii="Times" w:hAnsi="Times" w:eastAsia="Times" w:cs="Times"/>
          <w:color w:val="auto"/>
          <w:sz w:val="16"/>
          <w:szCs w:val="16"/>
        </w:rPr>
        <w:t>Penadés, R., Catalán, R., Rubia, K., Andrés, S., Salamero, M., &amp; Gastó, C.</w:t>
      </w:r>
    </w:p>
    <w:p>
      <w:pPr>
        <w:spacing w:after="0" w:line="22" w:lineRule="exact"/>
        <w:rPr>
          <w:color w:val="auto"/>
          <w:sz w:val="20"/>
          <w:szCs w:val="20"/>
        </w:rPr>
      </w:pPr>
    </w:p>
    <w:p>
      <w:pPr>
        <w:spacing w:after="0"/>
        <w:ind w:left="160"/>
        <w:rPr>
          <w:color w:val="auto"/>
          <w:sz w:val="20"/>
          <w:szCs w:val="20"/>
        </w:rPr>
      </w:pPr>
      <w:r>
        <w:rPr>
          <w:rFonts w:ascii="Times" w:hAnsi="Times" w:eastAsia="Times" w:cs="Times"/>
          <w:color w:val="auto"/>
          <w:sz w:val="16"/>
          <w:szCs w:val="16"/>
        </w:rPr>
        <w:t>(2007). Impaired response inhibition in obsessive compulsive disorder.</w:t>
      </w:r>
    </w:p>
    <w:p>
      <w:pPr>
        <w:spacing w:after="0" w:line="22" w:lineRule="exact"/>
        <w:rPr>
          <w:color w:val="auto"/>
          <w:sz w:val="20"/>
          <w:szCs w:val="20"/>
        </w:rPr>
      </w:pPr>
    </w:p>
    <w:p>
      <w:pPr>
        <w:spacing w:after="0"/>
        <w:ind w:left="160"/>
        <w:rPr>
          <w:color w:val="auto"/>
          <w:sz w:val="20"/>
          <w:szCs w:val="20"/>
        </w:rPr>
      </w:pPr>
      <w:r>
        <w:rPr>
          <w:rFonts w:ascii="Times" w:hAnsi="Times" w:eastAsia="Times" w:cs="Times"/>
          <w:i/>
          <w:iCs/>
          <w:color w:val="auto"/>
          <w:sz w:val="16"/>
          <w:szCs w:val="16"/>
        </w:rPr>
        <w:t xml:space="preserve">European Psychiatry, 22, </w:t>
      </w:r>
      <w:r>
        <w:rPr>
          <w:rFonts w:ascii="Times" w:hAnsi="Times" w:eastAsia="Times" w:cs="Times"/>
          <w:color w:val="auto"/>
          <w:sz w:val="16"/>
          <w:szCs w:val="16"/>
        </w:rPr>
        <w:t>404 – 410.</w:t>
      </w:r>
    </w:p>
    <w:p>
      <w:pPr>
        <w:spacing w:after="0" w:line="30" w:lineRule="exact"/>
        <w:rPr>
          <w:color w:val="auto"/>
          <w:sz w:val="20"/>
          <w:szCs w:val="20"/>
        </w:rPr>
      </w:pPr>
    </w:p>
    <w:p>
      <w:pPr>
        <w:spacing w:after="0" w:line="265"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Pouget, P., Logan, G. D., Palmeri, T. J., Boucher, L., Paré, M., &amp; Schall, J. D. (2011). Neural basis of adaptive response time adjustment during saccade countermanding. </w:t>
      </w:r>
      <w:r>
        <w:rPr>
          <w:rFonts w:ascii="Times" w:hAnsi="Times" w:eastAsia="Times" w:cs="Times"/>
          <w:i/>
          <w:iCs/>
          <w:color w:val="auto"/>
          <w:sz w:val="16"/>
          <w:szCs w:val="16"/>
        </w:rPr>
        <w:t>The Journal of Neuroscience, 31,</w:t>
      </w:r>
      <w:r>
        <w:rPr>
          <w:rFonts w:ascii="Times" w:hAnsi="Times" w:eastAsia="Times" w:cs="Times"/>
          <w:color w:val="auto"/>
          <w:sz w:val="16"/>
          <w:szCs w:val="16"/>
        </w:rPr>
        <w:t xml:space="preserve"> 12604 – 12612. </w:t>
      </w:r>
      <w:r>
        <w:fldChar w:fldCharType="begin"/>
      </w:r>
      <w:r>
        <w:instrText xml:space="preserve"> HYPERLINK "http://dx.doi.org/10.1523/JNEUROSCI.1868-11.2011" \h </w:instrText>
      </w:r>
      <w:r>
        <w:fldChar w:fldCharType="separate"/>
      </w:r>
      <w:r>
        <w:rPr>
          <w:rFonts w:ascii="Times" w:hAnsi="Times" w:eastAsia="Times" w:cs="Times"/>
          <w:color w:val="00007C"/>
          <w:sz w:val="16"/>
          <w:szCs w:val="16"/>
        </w:rPr>
        <w:t>doi:10.1523/JNEUROSCI.1868-11.2011</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Ramos, B. P. &amp; Arnsten, A. F. T. (2007). Adrenergic pharmacology and cognition: Focus on the prefrontal cortex. </w:t>
      </w:r>
      <w:r>
        <w:rPr>
          <w:rFonts w:ascii="Times" w:hAnsi="Times" w:eastAsia="Times" w:cs="Times"/>
          <w:i/>
          <w:iCs/>
          <w:color w:val="auto"/>
          <w:sz w:val="16"/>
          <w:szCs w:val="16"/>
        </w:rPr>
        <w:t xml:space="preserve">Pharmacology &amp; Therapeu-tics, 113, </w:t>
      </w:r>
      <w:r>
        <w:rPr>
          <w:rFonts w:ascii="Times" w:hAnsi="Times" w:eastAsia="Times" w:cs="Times"/>
          <w:color w:val="auto"/>
          <w:sz w:val="16"/>
          <w:szCs w:val="16"/>
        </w:rPr>
        <w:t>523–536.</w:t>
      </w:r>
      <w:r>
        <w:rPr>
          <w:rFonts w:ascii="Times" w:hAnsi="Times" w:eastAsia="Times" w:cs="Times"/>
          <w:i/>
          <w:iCs/>
          <w:color w:val="auto"/>
          <w:sz w:val="16"/>
          <w:szCs w:val="16"/>
        </w:rPr>
        <w:t xml:space="preserve"> </w:t>
      </w:r>
      <w:r>
        <w:fldChar w:fldCharType="begin"/>
      </w:r>
      <w:r>
        <w:instrText xml:space="preserve"> HYPERLINK "http://dx.doi.org/10.1016/j.pharmthera.2006.11.006" \h </w:instrText>
      </w:r>
      <w:r>
        <w:fldChar w:fldCharType="separate"/>
      </w:r>
      <w:r>
        <w:rPr>
          <w:rFonts w:ascii="Times" w:hAnsi="Times" w:eastAsia="Times" w:cs="Times"/>
          <w:color w:val="00007C"/>
          <w:sz w:val="16"/>
          <w:szCs w:val="16"/>
        </w:rPr>
        <w:t>doi:10.1016/j.pharmthera.2006.11.006</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Ratcliff, R., &amp; Frank, M. J. (2012). Reinforcement-based decision making in corticostriatal circuits: Mutual constraints by neurocomputational and diffusion models. </w:t>
      </w:r>
      <w:r>
        <w:rPr>
          <w:rFonts w:ascii="Times" w:hAnsi="Times" w:eastAsia="Times" w:cs="Times"/>
          <w:i/>
          <w:iCs/>
          <w:color w:val="auto"/>
          <w:sz w:val="16"/>
          <w:szCs w:val="16"/>
        </w:rPr>
        <w:t>Neural Computation, 24,</w:t>
      </w:r>
      <w:r>
        <w:rPr>
          <w:rFonts w:ascii="Times" w:hAnsi="Times" w:eastAsia="Times" w:cs="Times"/>
          <w:color w:val="auto"/>
          <w:sz w:val="16"/>
          <w:szCs w:val="16"/>
        </w:rPr>
        <w:t xml:space="preserve"> 1186 –1229. </w:t>
      </w:r>
      <w:r>
        <w:fldChar w:fldCharType="begin"/>
      </w:r>
      <w:r>
        <w:instrText xml:space="preserve"> HYPERLINK "http://dx.doi.org/10.1162/NECO_a_00270" \h </w:instrText>
      </w:r>
      <w:r>
        <w:fldChar w:fldCharType="separate"/>
      </w:r>
      <w:r>
        <w:rPr>
          <w:rFonts w:ascii="Times" w:hAnsi="Times" w:eastAsia="Times" w:cs="Times"/>
          <w:color w:val="00007C"/>
          <w:sz w:val="16"/>
          <w:szCs w:val="16"/>
        </w:rPr>
        <w:t>doi:10.1162/</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"http://dx.doi.org/10.1162/NECO_a_00270" \h </w:instrText>
      </w:r>
      <w:r>
        <w:fldChar w:fldCharType="separate"/>
      </w:r>
      <w:r>
        <w:rPr>
          <w:rFonts w:ascii="Times" w:hAnsi="Times" w:eastAsia="Times" w:cs="Times"/>
          <w:color w:val="00007C"/>
          <w:sz w:val="16"/>
          <w:szCs w:val="16"/>
        </w:rPr>
        <w:t>NECO_a_00270</w:t>
      </w:r>
      <w:r>
        <w:rPr>
          <w:rFonts w:ascii="Times" w:hAnsi="Times" w:eastAsia="Times" w:cs="Times"/>
          <w:color w:val="00007C"/>
          <w:sz w:val="16"/>
          <w:szCs w:val="16"/>
        </w:rPr>
        <w:fldChar w:fldCharType="end"/>
      </w:r>
    </w:p>
    <w:p>
      <w:pPr>
        <w:spacing w:after="0" w:line="4" w:lineRule="exact"/>
        <w:rPr>
          <w:color w:val="auto"/>
          <w:sz w:val="20"/>
          <w:szCs w:val="20"/>
        </w:rPr>
      </w:pPr>
    </w:p>
    <w:p>
      <w:pPr>
        <w:spacing w:after="0"/>
        <w:rPr>
          <w:color w:val="auto"/>
          <w:sz w:val="20"/>
          <w:szCs w:val="20"/>
        </w:rPr>
      </w:pPr>
      <w:r>
        <w:rPr>
          <w:rFonts w:ascii="Times" w:hAnsi="Times" w:eastAsia="Times" w:cs="Times"/>
          <w:color w:val="auto"/>
          <w:sz w:val="16"/>
          <w:szCs w:val="16"/>
        </w:rPr>
        <w:t>Ray, N. J., Jenkinson, N., Brittain, J., Holland, P., Joint, C., Nandi, D., . . .</w:t>
      </w:r>
    </w:p>
    <w:p>
      <w:pPr>
        <w:spacing w:after="0" w:line="30" w:lineRule="exact"/>
        <w:rPr>
          <w:color w:val="auto"/>
          <w:sz w:val="20"/>
          <w:szCs w:val="20"/>
        </w:rPr>
      </w:pPr>
    </w:p>
    <w:p>
      <w:pPr>
        <w:spacing w:after="0" w:line="265" w:lineRule="auto"/>
        <w:ind w:left="160"/>
        <w:jc w:val="both"/>
        <w:rPr>
          <w:rFonts w:ascii="Times" w:hAnsi="Times" w:eastAsia="Times" w:cs="Times"/>
          <w:color w:val="00007C"/>
          <w:sz w:val="16"/>
          <w:szCs w:val="16"/>
        </w:rPr>
      </w:pPr>
      <w:r>
        <w:rPr>
          <w:rFonts w:ascii="Times" w:hAnsi="Times" w:eastAsia="Times" w:cs="Times"/>
          <w:color w:val="auto"/>
          <w:sz w:val="16"/>
          <w:szCs w:val="16"/>
        </w:rPr>
        <w:t xml:space="preserve">Aziz, T. Z. (2009). The role of the subthalamic nucleus in response inhibition: Evidence from deep brain stimulation for Parkinson’s dis-ease. </w:t>
      </w:r>
      <w:r>
        <w:rPr>
          <w:rFonts w:ascii="Times" w:hAnsi="Times" w:eastAsia="Times" w:cs="Times"/>
          <w:i/>
          <w:iCs/>
          <w:color w:val="auto"/>
          <w:sz w:val="16"/>
          <w:szCs w:val="16"/>
        </w:rPr>
        <w:t>Neuropsychologia, 47,</w:t>
      </w:r>
      <w:r>
        <w:rPr>
          <w:rFonts w:ascii="Times" w:hAnsi="Times" w:eastAsia="Times" w:cs="Times"/>
          <w:color w:val="auto"/>
          <w:sz w:val="16"/>
          <w:szCs w:val="16"/>
        </w:rPr>
        <w:t xml:space="preserve"> 2828 –2834. </w:t>
      </w:r>
      <w:r>
        <w:fldChar w:fldCharType="begin"/>
      </w:r>
      <w:r>
        <w:instrText xml:space="preserve"> HYPERLINK "http://dx.doi.org/10.1016/j.neuropsychologia.2009.06.011" \h </w:instrText>
      </w:r>
      <w:r>
        <w:fldChar w:fldCharType="separate"/>
      </w:r>
      <w:r>
        <w:rPr>
          <w:rFonts w:ascii="Times" w:hAnsi="Times" w:eastAsia="Times" w:cs="Times"/>
          <w:color w:val="00007C"/>
          <w:sz w:val="16"/>
          <w:szCs w:val="16"/>
        </w:rPr>
        <w:t>doi:10.1016/j.neuropsycholo</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"http://dx.doi.org/10.1016/j.neuropsychologia.2009.06.011" \h </w:instrText>
      </w:r>
      <w:r>
        <w:fldChar w:fldCharType="separate"/>
      </w:r>
      <w:r>
        <w:rPr>
          <w:rFonts w:ascii="Times" w:hAnsi="Times" w:eastAsia="Times" w:cs="Times"/>
          <w:color w:val="00007C"/>
          <w:sz w:val="16"/>
          <w:szCs w:val="16"/>
        </w:rPr>
        <w:t>gia.2009.06.011</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Reilly, J. L., Harris, M. S., Keshavan, M. S., &amp; Sweeney, J. A. (2006). Adverse effects of risperidone on spatial working memory in first-episode schizophrenia. </w:t>
      </w:r>
      <w:r>
        <w:rPr>
          <w:rFonts w:ascii="Times" w:hAnsi="Times" w:eastAsia="Times" w:cs="Times"/>
          <w:i/>
          <w:iCs/>
          <w:color w:val="auto"/>
          <w:sz w:val="16"/>
          <w:szCs w:val="16"/>
        </w:rPr>
        <w:t>Archives of General Psychiatry, 63,</w:t>
      </w:r>
      <w:r>
        <w:rPr>
          <w:rFonts w:ascii="Times" w:hAnsi="Times" w:eastAsia="Times" w:cs="Times"/>
          <w:color w:val="auto"/>
          <w:sz w:val="16"/>
          <w:szCs w:val="16"/>
        </w:rPr>
        <w:t xml:space="preserve"> 1189 –1197. </w:t>
      </w:r>
      <w:r>
        <w:fldChar w:fldCharType="begin"/>
      </w:r>
      <w:r>
        <w:instrText xml:space="preserve"> HYPERLINK "http://dx.doi.org/10.1001/archpsyc.63.11.1189" \h </w:instrText>
      </w:r>
      <w:r>
        <w:fldChar w:fldCharType="separate"/>
      </w:r>
      <w:r>
        <w:rPr>
          <w:rFonts w:ascii="Times" w:hAnsi="Times" w:eastAsia="Times" w:cs="Times"/>
          <w:color w:val="00007C"/>
          <w:sz w:val="16"/>
          <w:szCs w:val="16"/>
        </w:rPr>
        <w:t>doi:10.1001/archpsyc.63.11.1189</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86" w:lineRule="auto"/>
        <w:ind w:left="160" w:hanging="159"/>
        <w:jc w:val="both"/>
        <w:rPr>
          <w:color w:val="auto"/>
          <w:sz w:val="20"/>
          <w:szCs w:val="20"/>
        </w:rPr>
      </w:pPr>
      <w:r>
        <w:rPr>
          <w:rFonts w:ascii="Times" w:hAnsi="Times" w:eastAsia="Times" w:cs="Times"/>
          <w:color w:val="auto"/>
          <w:sz w:val="15"/>
          <w:szCs w:val="15"/>
        </w:rPr>
        <w:t xml:space="preserve">Reilly, J. L., Harris, M. S., Khine, T. T., Keshavan, M. S., &amp; Sweeney, J. A. (2007). Antipsychotic drugs exacerbate impairment on a working mem-ory task in first-episode schizophrenia. </w:t>
      </w:r>
      <w:r>
        <w:rPr>
          <w:rFonts w:ascii="Times" w:hAnsi="Times" w:eastAsia="Times" w:cs="Times"/>
          <w:i/>
          <w:iCs/>
          <w:color w:val="auto"/>
          <w:sz w:val="15"/>
          <w:szCs w:val="15"/>
        </w:rPr>
        <w:t>Biological Psychiatry, 62,</w:t>
      </w:r>
      <w:r>
        <w:rPr>
          <w:rFonts w:ascii="Times" w:hAnsi="Times" w:eastAsia="Times" w:cs="Times"/>
          <w:color w:val="auto"/>
          <w:sz w:val="15"/>
          <w:szCs w:val="15"/>
        </w:rPr>
        <w:t xml:space="preserve"> 818 –</w:t>
      </w:r>
    </w:p>
    <w:p>
      <w:pPr>
        <w:numPr>
          <w:ilvl w:val="0"/>
          <w:numId w:val="12"/>
        </w:numPr>
        <w:tabs>
          <w:tab w:val="left" w:pos="500"/>
        </w:tabs>
        <w:spacing w:after="0" w:line="230" w:lineRule="auto"/>
        <w:ind w:left="500" w:hanging="340"/>
        <w:rPr>
          <w:rFonts w:ascii="Times" w:hAnsi="Times" w:eastAsia="Times" w:cs="Times"/>
          <w:color w:val="00007C"/>
          <w:sz w:val="16"/>
          <w:szCs w:val="16"/>
        </w:rPr>
      </w:pPr>
      <w:r>
        <w:fldChar w:fldCharType="begin"/>
      </w:r>
      <w:r>
        <w:instrText xml:space="preserve"> HYPERLINK "http://dx.doi.org/10.1016/j.biopsych.2006.10.031" \h </w:instrText>
      </w:r>
      <w:r>
        <w:fldChar w:fldCharType="separate"/>
      </w:r>
      <w:r>
        <w:rPr>
          <w:rFonts w:ascii="Times" w:hAnsi="Times" w:eastAsia="Times" w:cs="Times"/>
          <w:color w:val="00007C"/>
          <w:sz w:val="16"/>
          <w:szCs w:val="16"/>
        </w:rPr>
        <w:t>doi:10.1016/j.biopsych.2006.10.031</w:t>
      </w:r>
      <w:r>
        <w:rPr>
          <w:rFonts w:ascii="Times" w:hAnsi="Times" w:eastAsia="Times" w:cs="Times"/>
          <w:color w:val="00007C"/>
          <w:sz w:val="16"/>
          <w:szCs w:val="16"/>
        </w:rPr>
        <w:fldChar w:fldCharType="end"/>
      </w:r>
    </w:p>
    <w:p>
      <w:pPr>
        <w:spacing w:after="0" w:line="31"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Reuter, B., &amp; Kathmann, N. (2004). Using saccade tasks as a tool to analyze executive dysfunctions in schizophrenia. </w:t>
      </w:r>
      <w:r>
        <w:rPr>
          <w:rFonts w:ascii="Times" w:hAnsi="Times" w:eastAsia="Times" w:cs="Times"/>
          <w:i/>
          <w:iCs/>
          <w:color w:val="auto"/>
          <w:sz w:val="16"/>
          <w:szCs w:val="16"/>
        </w:rPr>
        <w:t>Acta Psychologica,</w:t>
      </w:r>
      <w:r>
        <w:rPr>
          <w:rFonts w:ascii="Times" w:hAnsi="Times" w:eastAsia="Times" w:cs="Times"/>
          <w:color w:val="auto"/>
          <w:sz w:val="16"/>
          <w:szCs w:val="16"/>
        </w:rPr>
        <w:t xml:space="preserve"> </w:t>
      </w:r>
      <w:r>
        <w:rPr>
          <w:rFonts w:ascii="Times" w:hAnsi="Times" w:eastAsia="Times" w:cs="Times"/>
          <w:i/>
          <w:iCs/>
          <w:color w:val="auto"/>
          <w:sz w:val="16"/>
          <w:szCs w:val="16"/>
        </w:rPr>
        <w:t xml:space="preserve">115, </w:t>
      </w:r>
      <w:r>
        <w:rPr>
          <w:rFonts w:ascii="Times" w:hAnsi="Times" w:eastAsia="Times" w:cs="Times"/>
          <w:color w:val="auto"/>
          <w:sz w:val="16"/>
          <w:szCs w:val="16"/>
        </w:rPr>
        <w:t>255–269.</w:t>
      </w:r>
      <w:r>
        <w:rPr>
          <w:rFonts w:ascii="Times" w:hAnsi="Times" w:eastAsia="Times" w:cs="Times"/>
          <w:i/>
          <w:iCs/>
          <w:color w:val="auto"/>
          <w:sz w:val="16"/>
          <w:szCs w:val="16"/>
        </w:rPr>
        <w:t xml:space="preserve"> </w:t>
      </w:r>
      <w:r>
        <w:fldChar w:fldCharType="begin"/>
      </w:r>
      <w:r>
        <w:instrText xml:space="preserve"> HYPERLINK "http://dx.doi.org/10.1016/j.actpsy.2003.12.009" \h </w:instrText>
      </w:r>
      <w:r>
        <w:fldChar w:fldCharType="separate"/>
      </w:r>
      <w:r>
        <w:rPr>
          <w:rFonts w:ascii="Times" w:hAnsi="Times" w:eastAsia="Times" w:cs="Times"/>
          <w:color w:val="00007C"/>
          <w:sz w:val="16"/>
          <w:szCs w:val="16"/>
        </w:rPr>
        <w:t>doi:10.1016/j.actpsy.2003.12.009</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Ridderinkhof, K. R. (2002). Micro- and macro-adjustments of task set: Activation and suppression in conflict tasks. </w:t>
      </w:r>
      <w:r>
        <w:rPr>
          <w:rFonts w:ascii="Times" w:hAnsi="Times" w:eastAsia="Times" w:cs="Times"/>
          <w:i/>
          <w:iCs/>
          <w:color w:val="auto"/>
          <w:sz w:val="16"/>
          <w:szCs w:val="16"/>
        </w:rPr>
        <w:t>Psychological Research/</w:t>
      </w:r>
      <w:r>
        <w:rPr>
          <w:rFonts w:ascii="Times" w:hAnsi="Times" w:eastAsia="Times" w:cs="Times"/>
          <w:color w:val="auto"/>
          <w:sz w:val="16"/>
          <w:szCs w:val="16"/>
        </w:rPr>
        <w:t xml:space="preserve"> </w:t>
      </w:r>
      <w:r>
        <w:rPr>
          <w:rFonts w:ascii="Times" w:hAnsi="Times" w:eastAsia="Times" w:cs="Times"/>
          <w:i/>
          <w:iCs/>
          <w:color w:val="auto"/>
          <w:sz w:val="16"/>
          <w:szCs w:val="16"/>
        </w:rPr>
        <w:t xml:space="preserve">Psychologische Forschung, 66, </w:t>
      </w:r>
      <w:r>
        <w:rPr>
          <w:rFonts w:ascii="Times" w:hAnsi="Times" w:eastAsia="Times" w:cs="Times"/>
          <w:color w:val="auto"/>
          <w:sz w:val="16"/>
          <w:szCs w:val="16"/>
        </w:rPr>
        <w:t>312–323.</w:t>
      </w:r>
      <w:r>
        <w:rPr>
          <w:rFonts w:ascii="Times" w:hAnsi="Times" w:eastAsia="Times" w:cs="Times"/>
          <w:i/>
          <w:iCs/>
          <w:color w:val="auto"/>
          <w:sz w:val="16"/>
          <w:szCs w:val="16"/>
        </w:rPr>
        <w:t xml:space="preserve"> </w:t>
      </w:r>
      <w:r>
        <w:fldChar w:fldCharType="begin"/>
      </w:r>
      <w:r>
        <w:instrText xml:space="preserve"> HYPERLINK "http://dx.doi.org/10.1007/s00426-002-0104-7" \h </w:instrText>
      </w:r>
      <w:r>
        <w:fldChar w:fldCharType="separate"/>
      </w:r>
      <w:r>
        <w:rPr>
          <w:rFonts w:ascii="Times" w:hAnsi="Times" w:eastAsia="Times" w:cs="Times"/>
          <w:color w:val="00007C"/>
          <w:sz w:val="16"/>
          <w:szCs w:val="16"/>
        </w:rPr>
        <w:t>doi:10.1007/s00426-002-</w:t>
      </w:r>
      <w:r>
        <w:rPr>
          <w:rFonts w:ascii="Times" w:hAnsi="Times" w:eastAsia="Times" w:cs="Times"/>
          <w:color w:val="00007C"/>
          <w:sz w:val="16"/>
          <w:szCs w:val="16"/>
        </w:rPr>
        <w:fldChar w:fldCharType="end"/>
      </w:r>
      <w:r>
        <w:fldChar w:fldCharType="begin"/>
      </w:r>
      <w:r>
        <w:instrText xml:space="preserve"> HYPERLINK "http://dx.doi.org/10.1007/s00426-002-0104-7" \h </w:instrText>
      </w:r>
      <w:r>
        <w:fldChar w:fldCharType="separate"/>
      </w:r>
      <w:r>
        <w:rPr>
          <w:rFonts w:ascii="Times" w:hAnsi="Times" w:eastAsia="Times" w:cs="Times"/>
          <w:color w:val="00007C"/>
          <w:sz w:val="16"/>
          <w:szCs w:val="16"/>
        </w:rPr>
        <w:t>0104-7</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Ridderinkhof, K. R., Forstmann, B. U., Wylie, S. A., Burle, B., &amp; van den Wildenberg, W. P. M. (2011). Neurocognitive mechanisms of action control: Resisting the call of the Sirens. </w:t>
      </w:r>
      <w:r>
        <w:rPr>
          <w:rFonts w:ascii="Times" w:hAnsi="Times" w:eastAsia="Times" w:cs="Times"/>
          <w:i/>
          <w:iCs/>
          <w:color w:val="auto"/>
          <w:sz w:val="16"/>
          <w:szCs w:val="16"/>
        </w:rPr>
        <w:t>Wiley Interdisciplinary Reviews:</w:t>
      </w:r>
      <w:r>
        <w:rPr>
          <w:rFonts w:ascii="Times" w:hAnsi="Times" w:eastAsia="Times" w:cs="Times"/>
          <w:color w:val="auto"/>
          <w:sz w:val="16"/>
          <w:szCs w:val="16"/>
        </w:rPr>
        <w:t xml:space="preserve"> </w:t>
      </w:r>
      <w:r>
        <w:rPr>
          <w:rFonts w:ascii="Times" w:hAnsi="Times" w:eastAsia="Times" w:cs="Times"/>
          <w:i/>
          <w:iCs/>
          <w:color w:val="auto"/>
          <w:sz w:val="16"/>
          <w:szCs w:val="16"/>
        </w:rPr>
        <w:t xml:space="preserve">Cognitive Science, 2, </w:t>
      </w:r>
      <w:r>
        <w:rPr>
          <w:rFonts w:ascii="Times" w:hAnsi="Times" w:eastAsia="Times" w:cs="Times"/>
          <w:color w:val="auto"/>
          <w:sz w:val="16"/>
          <w:szCs w:val="16"/>
        </w:rPr>
        <w:t>174 –192.</w:t>
      </w:r>
      <w:r>
        <w:rPr>
          <w:rFonts w:ascii="Times" w:hAnsi="Times" w:eastAsia="Times" w:cs="Times"/>
          <w:i/>
          <w:iCs/>
          <w:color w:val="auto"/>
          <w:sz w:val="16"/>
          <w:szCs w:val="16"/>
        </w:rPr>
        <w:t xml:space="preserve"> </w:t>
      </w:r>
      <w:r>
        <w:fldChar w:fldCharType="begin"/>
      </w:r>
      <w:r>
        <w:instrText xml:space="preserve"> HYPERLINK "http://dx.doi.org/10.1002/wcs.99" \h </w:instrText>
      </w:r>
      <w:r>
        <w:fldChar w:fldCharType="separate"/>
      </w:r>
      <w:r>
        <w:rPr>
          <w:rFonts w:ascii="Times" w:hAnsi="Times" w:eastAsia="Times" w:cs="Times"/>
          <w:color w:val="00007C"/>
          <w:sz w:val="16"/>
          <w:szCs w:val="16"/>
        </w:rPr>
        <w:t>doi:10.1002/wcs.99</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Ridderinkhof, K. R., van den Wildenberg, W. P. M., Segalowitz, S. J., &amp; Carter, C. S. (2004). Neurocognitive mechanisms of cognitive control: The role of prefrontal cortex in action selection, response inhibition, performance monitoring, and reward-based learning. </w:t>
      </w:r>
      <w:r>
        <w:rPr>
          <w:rFonts w:ascii="Times" w:hAnsi="Times" w:eastAsia="Times" w:cs="Times"/>
          <w:i/>
          <w:iCs/>
          <w:color w:val="auto"/>
          <w:sz w:val="16"/>
          <w:szCs w:val="16"/>
        </w:rPr>
        <w:t xml:space="preserve">Brain and Cogni-tion, 56, </w:t>
      </w:r>
      <w:r>
        <w:rPr>
          <w:rFonts w:ascii="Times" w:hAnsi="Times" w:eastAsia="Times" w:cs="Times"/>
          <w:color w:val="auto"/>
          <w:sz w:val="16"/>
          <w:szCs w:val="16"/>
        </w:rPr>
        <w:t>129 –140.</w:t>
      </w:r>
      <w:r>
        <w:rPr>
          <w:rFonts w:ascii="Times" w:hAnsi="Times" w:eastAsia="Times" w:cs="Times"/>
          <w:i/>
          <w:iCs/>
          <w:color w:val="auto"/>
          <w:sz w:val="16"/>
          <w:szCs w:val="16"/>
        </w:rPr>
        <w:t xml:space="preserve"> </w:t>
      </w:r>
      <w:r>
        <w:fldChar w:fldCharType="begin"/>
      </w:r>
      <w:r>
        <w:instrText xml:space="preserve"> HYPERLINK "http://dx.doi.org/10.1016/j.bandc.2004.09.016" \h </w:instrText>
      </w:r>
      <w:r>
        <w:fldChar w:fldCharType="separate"/>
      </w:r>
      <w:r>
        <w:rPr>
          <w:rFonts w:ascii="Times" w:hAnsi="Times" w:eastAsia="Times" w:cs="Times"/>
          <w:color w:val="00007C"/>
          <w:sz w:val="16"/>
          <w:szCs w:val="16"/>
        </w:rPr>
        <w:t>doi:10.1016/j.bandc.2004.09.016</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Roberts, R. J., Hager, L. D., &amp; Heron, C. (1994). Prefrontal cognitive processes: Working memory and inhibition in the antisaccade task. </w:t>
      </w:r>
      <w:r>
        <w:rPr>
          <w:rFonts w:ascii="Times" w:hAnsi="Times" w:eastAsia="Times" w:cs="Times"/>
          <w:i/>
          <w:iCs/>
          <w:color w:val="auto"/>
          <w:sz w:val="16"/>
          <w:szCs w:val="16"/>
        </w:rPr>
        <w:t xml:space="preserve">Journal of Experimental Psychology: General, 123, </w:t>
      </w:r>
      <w:r>
        <w:rPr>
          <w:rFonts w:ascii="Times" w:hAnsi="Times" w:eastAsia="Times" w:cs="Times"/>
          <w:color w:val="auto"/>
          <w:sz w:val="16"/>
          <w:szCs w:val="16"/>
        </w:rPr>
        <w:t>374 –393.</w:t>
      </w:r>
      <w:r>
        <w:rPr>
          <w:rFonts w:ascii="Times" w:hAnsi="Times" w:eastAsia="Times" w:cs="Times"/>
          <w:i/>
          <w:iCs/>
          <w:color w:val="auto"/>
          <w:sz w:val="16"/>
          <w:szCs w:val="16"/>
        </w:rPr>
        <w:t xml:space="preserve"> </w:t>
      </w:r>
      <w:r>
        <w:fldChar w:fldCharType="begin"/>
      </w:r>
      <w:r>
        <w:instrText xml:space="preserve"> HYPERLINK "http://dx.doi.org/10.1037/0096-3445.123.4.374"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fldChar w:fldCharType="begin"/>
      </w:r>
      <w:r>
        <w:instrText xml:space="preserve"> HYPERLINK "http://dx.doi.org/10.1037/0096-3445.123.4.374" \h </w:instrText>
      </w:r>
      <w:r>
        <w:fldChar w:fldCharType="separate"/>
      </w:r>
      <w:r>
        <w:rPr>
          <w:rFonts w:ascii="Times" w:hAnsi="Times" w:eastAsia="Times" w:cs="Times"/>
          <w:color w:val="00007C"/>
          <w:sz w:val="16"/>
          <w:szCs w:val="16"/>
        </w:rPr>
        <w:t>10.1037/0096-3445.123.4.374</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Rougier, N. P., Noelle, D., Braver, T. S., Cohen, J. D., &amp; O’Reilly, R. C. (2005). Prefrontal cortex and the flexibility of cognitive control: Rules without symbols. </w:t>
      </w:r>
      <w:r>
        <w:rPr>
          <w:rFonts w:ascii="Times" w:hAnsi="Times" w:eastAsia="Times" w:cs="Times"/>
          <w:i/>
          <w:iCs/>
          <w:color w:val="auto"/>
          <w:sz w:val="16"/>
          <w:szCs w:val="16"/>
        </w:rPr>
        <w:t>Proceedings of the National Academy of Sciences,</w:t>
      </w:r>
      <w:r>
        <w:rPr>
          <w:rFonts w:ascii="Times" w:hAnsi="Times" w:eastAsia="Times" w:cs="Times"/>
          <w:color w:val="auto"/>
          <w:sz w:val="16"/>
          <w:szCs w:val="16"/>
        </w:rPr>
        <w:t xml:space="preserve"> </w:t>
      </w:r>
      <w:r>
        <w:rPr>
          <w:rFonts w:ascii="Times" w:hAnsi="Times" w:eastAsia="Times" w:cs="Times"/>
          <w:i/>
          <w:iCs/>
          <w:color w:val="auto"/>
          <w:sz w:val="16"/>
          <w:szCs w:val="16"/>
        </w:rPr>
        <w:t xml:space="preserve">USA, 102, </w:t>
      </w:r>
      <w:r>
        <w:rPr>
          <w:rFonts w:ascii="Times" w:hAnsi="Times" w:eastAsia="Times" w:cs="Times"/>
          <w:color w:val="auto"/>
          <w:sz w:val="16"/>
          <w:szCs w:val="16"/>
        </w:rPr>
        <w:t>7338 –7343.</w:t>
      </w:r>
      <w:r>
        <w:rPr>
          <w:rFonts w:ascii="Times" w:hAnsi="Times" w:eastAsia="Times" w:cs="Times"/>
          <w:i/>
          <w:iCs/>
          <w:color w:val="auto"/>
          <w:sz w:val="16"/>
          <w:szCs w:val="16"/>
        </w:rPr>
        <w:t xml:space="preserve"> </w:t>
      </w:r>
      <w:r>
        <w:fldChar w:fldCharType="begin"/>
      </w:r>
      <w:r>
        <w:instrText xml:space="preserve"> HYPERLINK "http://dx.doi.org/10.1073/pnas.0502455102" \h </w:instrText>
      </w:r>
      <w:r>
        <w:fldChar w:fldCharType="separate"/>
      </w:r>
      <w:r>
        <w:rPr>
          <w:rFonts w:ascii="Times" w:hAnsi="Times" w:eastAsia="Times" w:cs="Times"/>
          <w:color w:val="00007C"/>
          <w:sz w:val="16"/>
          <w:szCs w:val="16"/>
        </w:rPr>
        <w:t>doi:10.1073/pnas.0502455102</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Rowe, J., Friston, K., Frackowiak, R., &amp; Passingham, R. (2002). Attention to action: Specific modulation of corticocortical interactions in humans. </w:t>
      </w:r>
      <w:r>
        <w:rPr>
          <w:rFonts w:ascii="Times" w:hAnsi="Times" w:eastAsia="Times" w:cs="Times"/>
          <w:i/>
          <w:iCs/>
          <w:color w:val="auto"/>
          <w:sz w:val="16"/>
          <w:szCs w:val="16"/>
        </w:rPr>
        <w:t xml:space="preserve">NeuroImage, 17, </w:t>
      </w:r>
      <w:r>
        <w:rPr>
          <w:rFonts w:ascii="Times" w:hAnsi="Times" w:eastAsia="Times" w:cs="Times"/>
          <w:color w:val="auto"/>
          <w:sz w:val="16"/>
          <w:szCs w:val="16"/>
        </w:rPr>
        <w:t>988 –998.</w:t>
      </w:r>
      <w:r>
        <w:rPr>
          <w:rFonts w:ascii="Times" w:hAnsi="Times" w:eastAsia="Times" w:cs="Times"/>
          <w:i/>
          <w:iCs/>
          <w:color w:val="auto"/>
          <w:sz w:val="16"/>
          <w:szCs w:val="16"/>
        </w:rPr>
        <w:t xml:space="preserve"> </w:t>
      </w:r>
      <w:r>
        <w:fldChar w:fldCharType="begin"/>
      </w:r>
      <w:r>
        <w:instrText xml:space="preserve"> HYPERLINK "http://dx.doi.org/10.1006/nimg.2002.1156" \h </w:instrText>
      </w:r>
      <w:r>
        <w:fldChar w:fldCharType="separate"/>
      </w:r>
      <w:r>
        <w:rPr>
          <w:rFonts w:ascii="Times" w:hAnsi="Times" w:eastAsia="Times" w:cs="Times"/>
          <w:color w:val="00007C"/>
          <w:sz w:val="16"/>
          <w:szCs w:val="16"/>
        </w:rPr>
        <w:t>doi:10.1006/nimg.2002.1156</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Rubchinsky, L. L., Kopell, N., &amp; Sigvardt, K. A. (2003). Modeling facilitation and inhibition of competing motor programs in basal ganglia subthalamic nucleus-pallidal circuits. </w:t>
      </w:r>
      <w:r>
        <w:rPr>
          <w:rFonts w:ascii="Times" w:hAnsi="Times" w:eastAsia="Times" w:cs="Times"/>
          <w:i/>
          <w:iCs/>
          <w:color w:val="auto"/>
          <w:sz w:val="16"/>
          <w:szCs w:val="16"/>
        </w:rPr>
        <w:t xml:space="preserve">Proceedings of the National Acad-emy of Sciences, USA, 100, </w:t>
      </w:r>
      <w:r>
        <w:rPr>
          <w:rFonts w:ascii="Times" w:hAnsi="Times" w:eastAsia="Times" w:cs="Times"/>
          <w:color w:val="auto"/>
          <w:sz w:val="16"/>
          <w:szCs w:val="16"/>
        </w:rPr>
        <w:t>14427–14432.</w:t>
      </w:r>
      <w:r>
        <w:rPr>
          <w:rFonts w:ascii="Times" w:hAnsi="Times" w:eastAsia="Times" w:cs="Times"/>
          <w:i/>
          <w:iCs/>
          <w:color w:val="auto"/>
          <w:sz w:val="16"/>
          <w:szCs w:val="16"/>
        </w:rPr>
        <w:t xml:space="preserve"> </w:t>
      </w:r>
      <w:r>
        <w:fldChar w:fldCharType="begin"/>
      </w:r>
      <w:r>
        <w:instrText xml:space="preserve"> HYPERLINK "http://dx.doi.org/10.1073/pnas.2036283100" \h </w:instrText>
      </w:r>
      <w:r>
        <w:fldChar w:fldCharType="separate"/>
      </w:r>
      <w:r>
        <w:rPr>
          <w:rFonts w:ascii="Times" w:hAnsi="Times" w:eastAsia="Times" w:cs="Times"/>
          <w:color w:val="00007C"/>
          <w:sz w:val="16"/>
          <w:szCs w:val="16"/>
        </w:rPr>
        <w:t>doi:10.1073/pnas</w:t>
      </w:r>
      <w:r>
        <w:rPr>
          <w:rFonts w:ascii="Times" w:hAnsi="Times" w:eastAsia="Times" w:cs="Times"/>
          <w:color w:val="00007C"/>
          <w:sz w:val="16"/>
          <w:szCs w:val="16"/>
        </w:rPr>
        <w:fldChar w:fldCharType="end"/>
      </w:r>
    </w:p>
    <w:p>
      <w:pPr>
        <w:spacing w:after="0" w:line="3"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"http://dx.doi.org/10.1073/pnas.2036283100" \h </w:instrText>
      </w:r>
      <w:r>
        <w:fldChar w:fldCharType="separate"/>
      </w:r>
      <w:r>
        <w:rPr>
          <w:rFonts w:ascii="Times" w:hAnsi="Times" w:eastAsia="Times" w:cs="Times"/>
          <w:color w:val="00007C"/>
          <w:sz w:val="16"/>
          <w:szCs w:val="16"/>
        </w:rPr>
        <w:t>.2036283100</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265"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Sakagami, M., Tsutsui, K., Lauwereyns, J., Koizumi, M., Kobayashi, S., &amp; Hikosaka, O. (2001). A code for behavioral inhibition on the basis of color, but not motion, in ventrolateral prefrontal cortex of macaque monkey. </w:t>
      </w:r>
      <w:r>
        <w:rPr>
          <w:rFonts w:ascii="Times" w:hAnsi="Times" w:eastAsia="Times" w:cs="Times"/>
          <w:i/>
          <w:iCs/>
          <w:color w:val="auto"/>
          <w:sz w:val="16"/>
          <w:szCs w:val="16"/>
        </w:rPr>
        <w:t>The Journal of Neuroscience, 21,</w:t>
      </w:r>
      <w:r>
        <w:rPr>
          <w:rFonts w:ascii="Times" w:hAnsi="Times" w:eastAsia="Times" w:cs="Times"/>
          <w:color w:val="auto"/>
          <w:sz w:val="16"/>
          <w:szCs w:val="16"/>
        </w:rPr>
        <w:t xml:space="preserve"> 4801– 4808.</w:t>
      </w: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Schachar, R., &amp; Logan, G. D. (1990). Impulsivity and inhibitory control in normal development and childhood psychopathology. </w:t>
      </w:r>
      <w:r>
        <w:rPr>
          <w:rFonts w:ascii="Times" w:hAnsi="Times" w:eastAsia="Times" w:cs="Times"/>
          <w:i/>
          <w:iCs/>
          <w:color w:val="auto"/>
          <w:sz w:val="16"/>
          <w:szCs w:val="16"/>
        </w:rPr>
        <w:t>Developmental</w:t>
      </w:r>
      <w:r>
        <w:rPr>
          <w:rFonts w:ascii="Times" w:hAnsi="Times" w:eastAsia="Times" w:cs="Times"/>
          <w:color w:val="auto"/>
          <w:sz w:val="16"/>
          <w:szCs w:val="16"/>
        </w:rPr>
        <w:t xml:space="preserve"> </w:t>
      </w:r>
      <w:r>
        <w:rPr>
          <w:rFonts w:ascii="Times" w:hAnsi="Times" w:eastAsia="Times" w:cs="Times"/>
          <w:i/>
          <w:iCs/>
          <w:color w:val="auto"/>
          <w:sz w:val="16"/>
          <w:szCs w:val="16"/>
        </w:rPr>
        <w:t xml:space="preserve">Psychology, 26, </w:t>
      </w:r>
      <w:r>
        <w:rPr>
          <w:rFonts w:ascii="Times" w:hAnsi="Times" w:eastAsia="Times" w:cs="Times"/>
          <w:color w:val="auto"/>
          <w:sz w:val="16"/>
          <w:szCs w:val="16"/>
        </w:rPr>
        <w:t>710 –720.</w:t>
      </w:r>
      <w:r>
        <w:rPr>
          <w:rFonts w:ascii="Times" w:hAnsi="Times" w:eastAsia="Times" w:cs="Times"/>
          <w:i/>
          <w:iCs/>
          <w:color w:val="auto"/>
          <w:sz w:val="16"/>
          <w:szCs w:val="16"/>
        </w:rPr>
        <w:t xml:space="preserve"> </w:t>
      </w:r>
      <w:r>
        <w:fldChar w:fldCharType="begin"/>
      </w:r>
      <w:r>
        <w:instrText xml:space="preserve"> HYPERLINK "http://dx.doi.org/10.1037/0012-1649.26.5.710" \h </w:instrText>
      </w:r>
      <w:r>
        <w:fldChar w:fldCharType="separate"/>
      </w:r>
      <w:r>
        <w:rPr>
          <w:rFonts w:ascii="Times" w:hAnsi="Times" w:eastAsia="Times" w:cs="Times"/>
          <w:color w:val="00007C"/>
          <w:sz w:val="16"/>
          <w:szCs w:val="16"/>
        </w:rPr>
        <w:t>doi:10.1037/0012-1649.26.5.710</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3"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Schlag-Rey, M., Amador, N., Sanchez, H., &amp; Schlag, J. (1997, November 27). Antisaccade performance predicted by neuronal activity in the supplementary eye field. </w:t>
      </w:r>
      <w:r>
        <w:rPr>
          <w:rFonts w:ascii="Times" w:hAnsi="Times" w:eastAsia="Times" w:cs="Times"/>
          <w:i/>
          <w:iCs/>
          <w:color w:val="auto"/>
          <w:sz w:val="16"/>
          <w:szCs w:val="16"/>
        </w:rPr>
        <w:t>Nature, 390,</w:t>
      </w:r>
      <w:r>
        <w:rPr>
          <w:rFonts w:ascii="Times" w:hAnsi="Times" w:eastAsia="Times" w:cs="Times"/>
          <w:color w:val="auto"/>
          <w:sz w:val="16"/>
          <w:szCs w:val="16"/>
        </w:rPr>
        <w:t xml:space="preserve"> 398 – 401. </w:t>
      </w:r>
      <w:r>
        <w:fldChar w:fldCharType="begin"/>
      </w:r>
      <w:r>
        <w:instrText xml:space="preserve"> HYPERLINK "http://dx.doi.org/10.1038/37114" \h </w:instrText>
      </w:r>
      <w:r>
        <w:fldChar w:fldCharType="separate"/>
      </w:r>
      <w:r>
        <w:rPr>
          <w:rFonts w:ascii="Times" w:hAnsi="Times" w:eastAsia="Times" w:cs="Times"/>
          <w:color w:val="00007C"/>
          <w:sz w:val="16"/>
          <w:szCs w:val="16"/>
        </w:rPr>
        <w:t>doi:10.1038/37114</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63" w:lineRule="auto"/>
        <w:ind w:left="160" w:hanging="159"/>
        <w:jc w:val="both"/>
        <w:rPr>
          <w:color w:val="auto"/>
          <w:sz w:val="20"/>
          <w:szCs w:val="20"/>
        </w:rPr>
      </w:pPr>
      <w:r>
        <w:rPr>
          <w:rFonts w:ascii="Times" w:hAnsi="Times" w:eastAsia="Times" w:cs="Times"/>
          <w:color w:val="auto"/>
          <w:sz w:val="16"/>
          <w:szCs w:val="16"/>
        </w:rPr>
        <w:t xml:space="preserve">Schlag-Rey, M., &amp; Schlag, J. (1984). Visuomotor functions of central thalamus in monkey: I. Unit activity related to spontaneous eye move-ments. </w:t>
      </w:r>
      <w:r>
        <w:rPr>
          <w:rFonts w:ascii="Times" w:hAnsi="Times" w:eastAsia="Times" w:cs="Times"/>
          <w:i/>
          <w:iCs/>
          <w:color w:val="auto"/>
          <w:sz w:val="16"/>
          <w:szCs w:val="16"/>
        </w:rPr>
        <w:t>Journal of Neurophysiology, 51,</w:t>
      </w:r>
      <w:r>
        <w:rPr>
          <w:rFonts w:ascii="Times" w:hAnsi="Times" w:eastAsia="Times" w:cs="Times"/>
          <w:color w:val="auto"/>
          <w:sz w:val="16"/>
          <w:szCs w:val="16"/>
        </w:rPr>
        <w:t xml:space="preserve"> 1149 –1174.</w:t>
      </w:r>
    </w:p>
    <w:p>
      <w:pPr>
        <w:spacing w:after="0" w:line="14" w:lineRule="exact"/>
        <w:rPr>
          <w:color w:val="auto"/>
          <w:sz w:val="20"/>
          <w:szCs w:val="20"/>
        </w:rPr>
      </w:pPr>
    </w:p>
    <w:p>
      <w:pPr>
        <w:spacing w:after="0" w:line="266"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Schmidt, R., Leventhal, D., Pettibone, J., Case, A., &amp; Berke, J. (2012). Suppressing actions in the basal ganglia [Abstract]. In </w:t>
      </w:r>
      <w:r>
        <w:rPr>
          <w:rFonts w:ascii="Times" w:hAnsi="Times" w:eastAsia="Times" w:cs="Times"/>
          <w:i/>
          <w:iCs/>
          <w:color w:val="auto"/>
          <w:sz w:val="16"/>
          <w:szCs w:val="16"/>
        </w:rPr>
        <w:t>COSYNE 2012:</w:t>
      </w:r>
      <w:r>
        <w:rPr>
          <w:rFonts w:ascii="Times" w:hAnsi="Times" w:eastAsia="Times" w:cs="Times"/>
          <w:color w:val="auto"/>
          <w:sz w:val="16"/>
          <w:szCs w:val="16"/>
        </w:rPr>
        <w:t xml:space="preserve"> </w:t>
      </w:r>
      <w:r>
        <w:rPr>
          <w:rFonts w:ascii="Times" w:hAnsi="Times" w:eastAsia="Times" w:cs="Times"/>
          <w:i/>
          <w:iCs/>
          <w:color w:val="auto"/>
          <w:sz w:val="16"/>
          <w:szCs w:val="16"/>
        </w:rPr>
        <w:t xml:space="preserve">The 9th Annual Computational and Systems Neuroscience Meeting </w:t>
      </w:r>
      <w:r>
        <w:rPr>
          <w:rFonts w:ascii="Times" w:hAnsi="Times" w:eastAsia="Times" w:cs="Times"/>
          <w:color w:val="auto"/>
          <w:sz w:val="16"/>
          <w:szCs w:val="16"/>
        </w:rPr>
        <w:t>(p.</w:t>
      </w:r>
      <w:r>
        <w:rPr>
          <w:rFonts w:ascii="Times" w:hAnsi="Times" w:eastAsia="Times" w:cs="Times"/>
          <w:i/>
          <w:iCs/>
          <w:color w:val="auto"/>
          <w:sz w:val="16"/>
          <w:szCs w:val="16"/>
        </w:rPr>
        <w:t xml:space="preserve"> </w:t>
      </w:r>
      <w:r>
        <w:rPr>
          <w:rFonts w:ascii="Times" w:hAnsi="Times" w:eastAsia="Times" w:cs="Times"/>
          <w:color w:val="auto"/>
          <w:sz w:val="16"/>
          <w:szCs w:val="16"/>
        </w:rPr>
        <w:t xml:space="preserve">139). Retrieved from </w:t>
      </w:r>
      <w:r>
        <w:fldChar w:fldCharType="begin"/>
      </w:r>
      <w:r>
        <w:instrText xml:space="preserve"> HYPERLINK "http://cosyne.org/cosyne12/Cosyne2012_program_book.pdf" \h </w:instrText>
      </w:r>
      <w:r>
        <w:fldChar w:fldCharType="separate"/>
      </w:r>
      <w:r>
        <w:rPr>
          <w:rFonts w:ascii="Times" w:hAnsi="Times" w:eastAsia="Times" w:cs="Times"/>
          <w:color w:val="00007C"/>
          <w:sz w:val="16"/>
          <w:szCs w:val="16"/>
        </w:rPr>
        <w:t>http://cosyne.org/cosyne12/Cosyne2012_program_</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"http://cosyne.org/cosyne12/Cosyne2012_program_book.pdf" \h </w:instrText>
      </w:r>
      <w:r>
        <w:fldChar w:fldCharType="separate"/>
      </w:r>
      <w:r>
        <w:rPr>
          <w:rFonts w:ascii="Times" w:hAnsi="Times" w:eastAsia="Times" w:cs="Times"/>
          <w:color w:val="00007C"/>
          <w:sz w:val="16"/>
          <w:szCs w:val="16"/>
        </w:rPr>
        <w:t>book.pdf</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6"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Sharp, D. J., Bonnelle, V., De Boissezon, X., Beckmann, C. F., James, S. G., Patel, M. C., &amp; Mehta, M. A. (2010). Distinct frontal systems for response inhibition, attentional capture, and error processing. </w:t>
      </w:r>
      <w:r>
        <w:rPr>
          <w:rFonts w:ascii="Times" w:hAnsi="Times" w:eastAsia="Times" w:cs="Times"/>
          <w:i/>
          <w:iCs/>
          <w:color w:val="auto"/>
          <w:sz w:val="16"/>
          <w:szCs w:val="16"/>
        </w:rPr>
        <w:t>Proceed-ings of the National Academy of Sciences, USA</w:t>
      </w:r>
      <w:r>
        <w:rPr>
          <w:rFonts w:ascii="Times" w:hAnsi="Times" w:eastAsia="Times" w:cs="Times"/>
          <w:color w:val="auto"/>
          <w:sz w:val="16"/>
          <w:szCs w:val="16"/>
        </w:rPr>
        <w:t xml:space="preserve">. Advance online publi-cation. </w:t>
      </w:r>
      <w:r>
        <w:fldChar w:fldCharType="begin"/>
      </w:r>
      <w:r>
        <w:instrText xml:space="preserve"> HYPERLINK "http://dx.doi.org/10.1073/pnas.1000175107" \h </w:instrText>
      </w:r>
      <w:r>
        <w:fldChar w:fldCharType="separate"/>
      </w:r>
      <w:r>
        <w:rPr>
          <w:rFonts w:ascii="Times" w:hAnsi="Times" w:eastAsia="Times" w:cs="Times"/>
          <w:color w:val="00007C"/>
          <w:sz w:val="16"/>
          <w:szCs w:val="16"/>
        </w:rPr>
        <w:t>doi:10.1073/pnas.1000175107</w:t>
      </w:r>
      <w:r>
        <w:rPr>
          <w:rFonts w:ascii="Times" w:hAnsi="Times" w:eastAsia="Times" w:cs="Times"/>
          <w:color w:val="00007C"/>
          <w:sz w:val="16"/>
          <w:szCs w:val="16"/>
        </w:rPr>
        <w:fldChar w:fldCharType="end"/>
      </w:r>
    </w:p>
    <w:p>
      <w:pPr>
        <w:spacing w:after="0" w:line="10" w:lineRule="exact"/>
        <w:rPr>
          <w:color w:val="auto"/>
          <w:sz w:val="20"/>
          <w:szCs w:val="20"/>
        </w:rPr>
      </w:pPr>
    </w:p>
    <w:p>
      <w:pPr>
        <w:spacing w:after="0" w:line="263"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Shen, W., Flajolet, M., Greengard, P., &amp; Surmeier, D. J. (2008, August 8). Dichotomous dopaminergic control of striatal synaptic plasticity. </w:t>
      </w:r>
      <w:r>
        <w:rPr>
          <w:rFonts w:ascii="Times" w:hAnsi="Times" w:eastAsia="Times" w:cs="Times"/>
          <w:i/>
          <w:iCs/>
          <w:color w:val="auto"/>
          <w:sz w:val="16"/>
          <w:szCs w:val="16"/>
        </w:rPr>
        <w:t xml:space="preserve">Sci-ence, 321, </w:t>
      </w:r>
      <w:r>
        <w:rPr>
          <w:rFonts w:ascii="Times" w:hAnsi="Times" w:eastAsia="Times" w:cs="Times"/>
          <w:color w:val="auto"/>
          <w:sz w:val="16"/>
          <w:szCs w:val="16"/>
        </w:rPr>
        <w:t>848 – 851.</w:t>
      </w:r>
      <w:r>
        <w:rPr>
          <w:rFonts w:ascii="Times" w:hAnsi="Times" w:eastAsia="Times" w:cs="Times"/>
          <w:i/>
          <w:iCs/>
          <w:color w:val="auto"/>
          <w:sz w:val="16"/>
          <w:szCs w:val="16"/>
        </w:rPr>
        <w:t xml:space="preserve"> </w:t>
      </w:r>
      <w:r>
        <w:fldChar w:fldCharType="begin"/>
      </w:r>
      <w:r>
        <w:instrText xml:space="preserve"> HYPERLINK "http://dx.doi.org/10.1126/science.1160575" \h </w:instrText>
      </w:r>
      <w:r>
        <w:fldChar w:fldCharType="separate"/>
      </w:r>
      <w:r>
        <w:rPr>
          <w:rFonts w:ascii="Times" w:hAnsi="Times" w:eastAsia="Times" w:cs="Times"/>
          <w:color w:val="00007C"/>
          <w:sz w:val="16"/>
          <w:szCs w:val="16"/>
        </w:rPr>
        <w:t>doi:10.1126/science.1160575</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65"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Simmonds, D. J., Pekar, J. J., &amp; Mostofsky, S. H. (2008). Meta-analysis of go/no-go tasks demonstrating that fMRI activation associated with re-sponse inhibition is task-dependent. </w:t>
      </w:r>
      <w:r>
        <w:rPr>
          <w:rFonts w:ascii="Times" w:hAnsi="Times" w:eastAsia="Times" w:cs="Times"/>
          <w:i/>
          <w:iCs/>
          <w:color w:val="auto"/>
          <w:sz w:val="16"/>
          <w:szCs w:val="16"/>
        </w:rPr>
        <w:t>Neuropsychologia, 46,</w:t>
      </w:r>
      <w:r>
        <w:rPr>
          <w:rFonts w:ascii="Times" w:hAnsi="Times" w:eastAsia="Times" w:cs="Times"/>
          <w:color w:val="auto"/>
          <w:sz w:val="16"/>
          <w:szCs w:val="16"/>
        </w:rPr>
        <w:t xml:space="preserve"> 224 –232. </w:t>
      </w:r>
      <w:r>
        <w:fldChar w:fldCharType="begin"/>
      </w:r>
      <w:r>
        <w:instrText xml:space="preserve"> HYPERLINK "http://dx.doi.org/10.1016/j.neuropsychologia.2007.07.015" \h </w:instrText>
      </w:r>
      <w:r>
        <w:fldChar w:fldCharType="separate"/>
      </w:r>
      <w:r>
        <w:rPr>
          <w:rFonts w:ascii="Times" w:hAnsi="Times" w:eastAsia="Times" w:cs="Times"/>
          <w:color w:val="00007C"/>
          <w:sz w:val="16"/>
          <w:szCs w:val="16"/>
        </w:rPr>
        <w:t>doi:10.1016/j.neuropsychologia.2007.07.015</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57"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Simon, J. R. (1969). Reactions toward the source of stimulation. </w:t>
      </w:r>
      <w:r>
        <w:rPr>
          <w:rFonts w:ascii="Times" w:hAnsi="Times" w:eastAsia="Times" w:cs="Times"/>
          <w:i/>
          <w:iCs/>
          <w:color w:val="auto"/>
          <w:sz w:val="16"/>
          <w:szCs w:val="16"/>
        </w:rPr>
        <w:t>Journal of</w:t>
      </w:r>
      <w:r>
        <w:rPr>
          <w:rFonts w:ascii="Times" w:hAnsi="Times" w:eastAsia="Times" w:cs="Times"/>
          <w:color w:val="auto"/>
          <w:sz w:val="16"/>
          <w:szCs w:val="16"/>
        </w:rPr>
        <w:t xml:space="preserve"> </w:t>
      </w:r>
      <w:r>
        <w:rPr>
          <w:rFonts w:ascii="Times" w:hAnsi="Times" w:eastAsia="Times" w:cs="Times"/>
          <w:i/>
          <w:iCs/>
          <w:color w:val="auto"/>
          <w:sz w:val="16"/>
          <w:szCs w:val="16"/>
        </w:rPr>
        <w:t xml:space="preserve">Experimental Psychology, 81, </w:t>
      </w:r>
      <w:r>
        <w:rPr>
          <w:rFonts w:ascii="Times" w:hAnsi="Times" w:eastAsia="Times" w:cs="Times"/>
          <w:color w:val="auto"/>
          <w:sz w:val="16"/>
          <w:szCs w:val="16"/>
        </w:rPr>
        <w:t>174 –176.</w:t>
      </w:r>
      <w:r>
        <w:rPr>
          <w:rFonts w:ascii="Times" w:hAnsi="Times" w:eastAsia="Times" w:cs="Times"/>
          <w:i/>
          <w:iCs/>
          <w:color w:val="auto"/>
          <w:sz w:val="16"/>
          <w:szCs w:val="16"/>
        </w:rPr>
        <w:t xml:space="preserve"> </w:t>
      </w:r>
      <w:r>
        <w:fldChar w:fldCharType="begin"/>
      </w:r>
      <w:r>
        <w:instrText xml:space="preserve"> HYPERLINK "http://dx.doi.org/10.1037/h0027448" \h </w:instrText>
      </w:r>
      <w:r>
        <w:fldChar w:fldCharType="separate"/>
      </w:r>
      <w:r>
        <w:rPr>
          <w:rFonts w:ascii="Times" w:hAnsi="Times" w:eastAsia="Times" w:cs="Times"/>
          <w:color w:val="00007C"/>
          <w:sz w:val="16"/>
          <w:szCs w:val="16"/>
        </w:rPr>
        <w:t>doi:10.1037/h0027448</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18" w:lineRule="exact"/>
        <w:rPr>
          <w:color w:val="auto"/>
          <w:sz w:val="20"/>
          <w:szCs w:val="20"/>
        </w:rPr>
      </w:pPr>
    </w:p>
    <w:p>
      <w:pPr>
        <w:spacing w:after="0" w:line="26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Sommer, M. A., &amp; Wurtz, R. H. (2004a). What the brain stem tells the frontal cortex: I. Oculomotor signals sent from superior colliculus to frontal eye field via mediodorsal thalamus. </w:t>
      </w:r>
      <w:r>
        <w:rPr>
          <w:rFonts w:ascii="Times" w:hAnsi="Times" w:eastAsia="Times" w:cs="Times"/>
          <w:i/>
          <w:iCs/>
          <w:color w:val="auto"/>
          <w:sz w:val="16"/>
          <w:szCs w:val="16"/>
        </w:rPr>
        <w:t>Journal of Neurophysiology,</w:t>
      </w:r>
      <w:r>
        <w:rPr>
          <w:rFonts w:ascii="Times" w:hAnsi="Times" w:eastAsia="Times" w:cs="Times"/>
          <w:color w:val="auto"/>
          <w:sz w:val="16"/>
          <w:szCs w:val="16"/>
        </w:rPr>
        <w:t xml:space="preserve"> </w:t>
      </w:r>
      <w:r>
        <w:rPr>
          <w:rFonts w:ascii="Times" w:hAnsi="Times" w:eastAsia="Times" w:cs="Times"/>
          <w:i/>
          <w:iCs/>
          <w:color w:val="auto"/>
          <w:sz w:val="16"/>
          <w:szCs w:val="16"/>
        </w:rPr>
        <w:t xml:space="preserve">91, </w:t>
      </w:r>
      <w:r>
        <w:rPr>
          <w:rFonts w:ascii="Times" w:hAnsi="Times" w:eastAsia="Times" w:cs="Times"/>
          <w:color w:val="auto"/>
          <w:sz w:val="16"/>
          <w:szCs w:val="16"/>
        </w:rPr>
        <w:t>1381–1402.</w:t>
      </w:r>
      <w:r>
        <w:rPr>
          <w:rFonts w:ascii="Times" w:hAnsi="Times" w:eastAsia="Times" w:cs="Times"/>
          <w:i/>
          <w:iCs/>
          <w:color w:val="auto"/>
          <w:sz w:val="16"/>
          <w:szCs w:val="16"/>
        </w:rPr>
        <w:t xml:space="preserve"> </w:t>
      </w:r>
      <w:r>
        <w:fldChar w:fldCharType="begin"/>
      </w:r>
      <w:r>
        <w:instrText xml:space="preserve"> HYPERLINK "http://dx.doi.org/10.1152/jn.00738.2003" \h </w:instrText>
      </w:r>
      <w:r>
        <w:fldChar w:fldCharType="separate"/>
      </w:r>
      <w:r>
        <w:rPr>
          <w:rFonts w:ascii="Times" w:hAnsi="Times" w:eastAsia="Times" w:cs="Times"/>
          <w:color w:val="00007C"/>
          <w:sz w:val="16"/>
          <w:szCs w:val="16"/>
        </w:rPr>
        <w:t>doi:10.1152/jn.00738.2003</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line="263"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Sommer, M. A., &amp; Wurtz, R. H. (2004b). What the brain stem tells the frontal cortex: II. Role of the SC-MD-FEF pathway in corollary dis-charge. </w:t>
      </w:r>
      <w:r>
        <w:rPr>
          <w:rFonts w:ascii="Times" w:hAnsi="Times" w:eastAsia="Times" w:cs="Times"/>
          <w:i/>
          <w:iCs/>
          <w:color w:val="auto"/>
          <w:sz w:val="16"/>
          <w:szCs w:val="16"/>
        </w:rPr>
        <w:t>Journal of Neurophysiology, 91,</w:t>
      </w:r>
      <w:r>
        <w:rPr>
          <w:rFonts w:ascii="Times" w:hAnsi="Times" w:eastAsia="Times" w:cs="Times"/>
          <w:color w:val="auto"/>
          <w:sz w:val="16"/>
          <w:szCs w:val="16"/>
        </w:rPr>
        <w:t xml:space="preserve"> 1403–1423. </w:t>
      </w:r>
      <w:r>
        <w:fldChar w:fldCharType="begin"/>
      </w:r>
      <w:r>
        <w:instrText xml:space="preserve"> HYPERLINK "http://dx.doi.org/10.1152/jn.00740.2003" \h </w:instrText>
      </w:r>
      <w:r>
        <w:fldChar w:fldCharType="separate"/>
      </w:r>
      <w:r>
        <w:rPr>
          <w:rFonts w:ascii="Times" w:hAnsi="Times" w:eastAsia="Times" w:cs="Times"/>
          <w:color w:val="00007C"/>
          <w:sz w:val="16"/>
          <w:szCs w:val="16"/>
        </w:rPr>
        <w:t>doi:10.1152/jn</w:t>
      </w:r>
      <w:r>
        <w:rPr>
          <w:rFonts w:ascii="Times" w:hAnsi="Times" w:eastAsia="Times" w:cs="Times"/>
          <w:color w:val="00007C"/>
          <w:sz w:val="16"/>
          <w:szCs w:val="16"/>
        </w:rPr>
        <w:fldChar w:fldCharType="end"/>
      </w:r>
    </w:p>
    <w:p>
      <w:pPr>
        <w:spacing w:after="0" w:line="5"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"http://dx.doi.org/10.1152/jn.00740.2003" \h </w:instrText>
      </w:r>
      <w:r>
        <w:fldChar w:fldCharType="separate"/>
      </w:r>
      <w:r>
        <w:rPr>
          <w:rFonts w:ascii="Times" w:hAnsi="Times" w:eastAsia="Times" w:cs="Times"/>
          <w:color w:val="00007C"/>
          <w:sz w:val="16"/>
          <w:szCs w:val="16"/>
        </w:rPr>
        <w:t>.00740.2003</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263" w:lineRule="auto"/>
        <w:ind w:left="160" w:hanging="159"/>
        <w:jc w:val="both"/>
        <w:rPr>
          <w:rFonts w:ascii="Times" w:hAnsi="Times" w:eastAsia="Times" w:cs="Times"/>
          <w:color w:val="auto"/>
          <w:sz w:val="16"/>
          <w:szCs w:val="16"/>
        </w:rPr>
      </w:pPr>
      <w:r>
        <w:rPr>
          <w:rFonts w:ascii="Times" w:hAnsi="Times" w:eastAsia="Times" w:cs="Times"/>
          <w:color w:val="auto"/>
          <w:sz w:val="16"/>
          <w:szCs w:val="16"/>
        </w:rPr>
        <w:t xml:space="preserve">Sommer, M. A., &amp; Wurtz, R. H. (2006, November 16). Influence of the thalamus on spatial visual processing in frontal cortex. </w:t>
      </w:r>
      <w:r>
        <w:rPr>
          <w:rFonts w:ascii="Times" w:hAnsi="Times" w:eastAsia="Times" w:cs="Times"/>
          <w:i/>
          <w:iCs/>
          <w:color w:val="auto"/>
          <w:sz w:val="16"/>
          <w:szCs w:val="16"/>
        </w:rPr>
        <w:t>Nature, 444,</w:t>
      </w:r>
      <w:r>
        <w:rPr>
          <w:rFonts w:ascii="Times" w:hAnsi="Times" w:eastAsia="Times" w:cs="Times"/>
          <w:color w:val="auto"/>
          <w:sz w:val="16"/>
          <w:szCs w:val="16"/>
        </w:rPr>
        <w:t xml:space="preserve"> 374 –377. </w:t>
      </w:r>
      <w:r>
        <w:fldChar w:fldCharType="begin"/>
      </w:r>
      <w:r>
        <w:instrText xml:space="preserve"> HYPERLINK "http://dx.doi.org/10.1038/nature05279" \h </w:instrText>
      </w:r>
      <w:r>
        <w:fldChar w:fldCharType="separate"/>
      </w:r>
      <w:r>
        <w:rPr>
          <w:rFonts w:ascii="Times" w:hAnsi="Times" w:eastAsia="Times" w:cs="Times"/>
          <w:color w:val="00007C"/>
          <w:sz w:val="16"/>
          <w:szCs w:val="16"/>
        </w:rPr>
        <w:t>doi:10.1038/nature05279</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57"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Sparks, D. L. (2002). The brainstem control of saccadic eye movements. </w:t>
      </w:r>
      <w:r>
        <w:rPr>
          <w:rFonts w:ascii="Times" w:hAnsi="Times" w:eastAsia="Times" w:cs="Times"/>
          <w:i/>
          <w:iCs/>
          <w:color w:val="auto"/>
          <w:sz w:val="16"/>
          <w:szCs w:val="16"/>
        </w:rPr>
        <w:t xml:space="preserve">Nature Reviews Neuroscience, 3, </w:t>
      </w:r>
      <w:r>
        <w:rPr>
          <w:rFonts w:ascii="Times" w:hAnsi="Times" w:eastAsia="Times" w:cs="Times"/>
          <w:color w:val="auto"/>
          <w:sz w:val="16"/>
          <w:szCs w:val="16"/>
        </w:rPr>
        <w:t>952–964.</w:t>
      </w:r>
      <w:r>
        <w:rPr>
          <w:rFonts w:ascii="Times" w:hAnsi="Times" w:eastAsia="Times" w:cs="Times"/>
          <w:i/>
          <w:iCs/>
          <w:color w:val="auto"/>
          <w:sz w:val="16"/>
          <w:szCs w:val="16"/>
        </w:rPr>
        <w:t xml:space="preserve"> </w:t>
      </w:r>
      <w:r>
        <w:fldChar w:fldCharType="begin"/>
      </w:r>
      <w:r>
        <w:instrText xml:space="preserve"> HYPERLINK "http://dx.doi.org/10.1038/nrn986" \h </w:instrText>
      </w:r>
      <w:r>
        <w:fldChar w:fldCharType="separate"/>
      </w:r>
      <w:r>
        <w:rPr>
          <w:rFonts w:ascii="Times" w:hAnsi="Times" w:eastAsia="Times" w:cs="Times"/>
          <w:color w:val="00007C"/>
          <w:sz w:val="16"/>
          <w:szCs w:val="16"/>
        </w:rPr>
        <w:t>doi:10.1038/nrn986</w:t>
      </w:r>
      <w:r>
        <w:rPr>
          <w:rFonts w:ascii="Times" w:hAnsi="Times" w:eastAsia="Times" w:cs="Times"/>
          <w:color w:val="00007C"/>
          <w:sz w:val="16"/>
          <w:szCs w:val="16"/>
        </w:rPr>
        <w:fldChar w:fldCharType="end"/>
      </w:r>
    </w:p>
    <w:p>
      <w:pPr>
        <w:spacing w:after="0" w:line="18" w:lineRule="exact"/>
        <w:rPr>
          <w:color w:val="auto"/>
          <w:sz w:val="20"/>
          <w:szCs w:val="20"/>
        </w:rPr>
      </w:pPr>
    </w:p>
    <w:p>
      <w:pPr>
        <w:spacing w:after="0" w:line="265" w:lineRule="auto"/>
        <w:jc w:val="right"/>
        <w:rPr>
          <w:rFonts w:ascii="Times" w:hAnsi="Times" w:eastAsia="Times" w:cs="Times"/>
          <w:i/>
          <w:iCs/>
          <w:color w:val="auto"/>
          <w:sz w:val="16"/>
          <w:szCs w:val="16"/>
        </w:rPr>
      </w:pPr>
      <w:r>
        <w:rPr>
          <w:rFonts w:ascii="Times" w:hAnsi="Times" w:eastAsia="Times" w:cs="Times"/>
          <w:color w:val="auto"/>
          <w:sz w:val="16"/>
          <w:szCs w:val="16"/>
        </w:rPr>
        <w:t xml:space="preserve">Stevens, A. A., Skudlarski, P., Gatenby, J. C., &amp; Gore, J. C. (2000). Event-related fMRI of auditory and visual oddball tasks. </w:t>
      </w:r>
      <w:r>
        <w:rPr>
          <w:rFonts w:ascii="Times" w:hAnsi="Times" w:eastAsia="Times" w:cs="Times"/>
          <w:i/>
          <w:iCs/>
          <w:color w:val="auto"/>
          <w:sz w:val="16"/>
          <w:szCs w:val="16"/>
        </w:rPr>
        <w:t>Magnetic</w:t>
      </w:r>
      <w:r>
        <w:rPr>
          <w:rFonts w:ascii="Times" w:hAnsi="Times" w:eastAsia="Times" w:cs="Times"/>
          <w:color w:val="auto"/>
          <w:sz w:val="16"/>
          <w:szCs w:val="16"/>
        </w:rPr>
        <w:t xml:space="preserve"> </w:t>
      </w:r>
      <w:r>
        <w:rPr>
          <w:rFonts w:ascii="Times" w:hAnsi="Times" w:eastAsia="Times" w:cs="Times"/>
          <w:i/>
          <w:iCs/>
          <w:color w:val="auto"/>
          <w:sz w:val="16"/>
          <w:szCs w:val="16"/>
        </w:rPr>
        <w:t xml:space="preserve">Resonance Imaging, 18, </w:t>
      </w:r>
      <w:r>
        <w:rPr>
          <w:rFonts w:ascii="Times" w:hAnsi="Times" w:eastAsia="Times" w:cs="Times"/>
          <w:color w:val="auto"/>
          <w:sz w:val="16"/>
          <w:szCs w:val="16"/>
        </w:rPr>
        <w:t>495–502.</w:t>
      </w:r>
      <w:r>
        <w:rPr>
          <w:rFonts w:ascii="Times" w:hAnsi="Times" w:eastAsia="Times" w:cs="Times"/>
          <w:i/>
          <w:iCs/>
          <w:color w:val="auto"/>
          <w:sz w:val="16"/>
          <w:szCs w:val="16"/>
        </w:rPr>
        <w:t xml:space="preserve"> </w:t>
      </w:r>
      <w:r>
        <w:fldChar w:fldCharType="begin"/>
      </w:r>
      <w:r>
        <w:instrText xml:space="preserve"> HYPERLINK "http://dx.doi.org/10.1016/S0730-725X%2800%2900128-4" \h </w:instrText>
      </w:r>
      <w:r>
        <w:fldChar w:fldCharType="separate"/>
      </w:r>
      <w:r>
        <w:rPr>
          <w:rFonts w:ascii="Times" w:hAnsi="Times" w:eastAsia="Times" w:cs="Times"/>
          <w:color w:val="00007C"/>
          <w:sz w:val="16"/>
          <w:szCs w:val="16"/>
        </w:rPr>
        <w:t>doi:10.1016/S0730-725X(00)00128-4</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rPr>
          <w:rFonts w:ascii="Times" w:hAnsi="Times" w:eastAsia="Times" w:cs="Times"/>
          <w:color w:val="auto"/>
          <w:sz w:val="16"/>
          <w:szCs w:val="16"/>
        </w:rPr>
        <w:t xml:space="preserve">Stuphorn, V., &amp; Schall, J. D. (2006). Executive control of countermanding saccades by the supplementary eye field. </w:t>
      </w:r>
      <w:r>
        <w:rPr>
          <w:rFonts w:ascii="Times" w:hAnsi="Times" w:eastAsia="Times" w:cs="Times"/>
          <w:i/>
          <w:iCs/>
          <w:color w:val="auto"/>
          <w:sz w:val="16"/>
          <w:szCs w:val="16"/>
        </w:rPr>
        <w:t>Nature Neuroscience, 9,</w:t>
      </w:r>
      <w:r>
        <w:rPr>
          <w:rFonts w:ascii="Times" w:hAnsi="Times" w:eastAsia="Times" w:cs="Times"/>
          <w:color w:val="auto"/>
          <w:sz w:val="16"/>
          <w:szCs w:val="16"/>
        </w:rPr>
        <w:t xml:space="preserve"> 925–</w:t>
      </w:r>
    </w:p>
    <w:p>
      <w:pPr>
        <w:spacing w:after="0" w:line="6" w:lineRule="exact"/>
        <w:rPr>
          <w:color w:val="auto"/>
          <w:sz w:val="20"/>
          <w:szCs w:val="20"/>
        </w:rPr>
      </w:pPr>
    </w:p>
    <w:p>
      <w:pPr>
        <w:numPr>
          <w:ilvl w:val="0"/>
          <w:numId w:val="13"/>
        </w:numPr>
        <w:tabs>
          <w:tab w:val="left" w:pos="500"/>
        </w:tabs>
        <w:spacing w:after="0"/>
        <w:ind w:left="500" w:hanging="340"/>
        <w:rPr>
          <w:rFonts w:ascii="Times" w:hAnsi="Times" w:eastAsia="Times" w:cs="Times"/>
          <w:color w:val="00007C"/>
          <w:sz w:val="16"/>
          <w:szCs w:val="16"/>
        </w:rPr>
      </w:pPr>
      <w:r>
        <w:fldChar w:fldCharType="begin"/>
      </w:r>
      <w:r>
        <w:instrText xml:space="preserve"> HYPERLINK "http://dx.doi.org/10.1038/nn1714" \h </w:instrText>
      </w:r>
      <w:r>
        <w:fldChar w:fldCharType="separate"/>
      </w:r>
      <w:r>
        <w:rPr>
          <w:rFonts w:ascii="Times" w:hAnsi="Times" w:eastAsia="Times" w:cs="Times"/>
          <w:color w:val="00007C"/>
          <w:sz w:val="16"/>
          <w:szCs w:val="16"/>
        </w:rPr>
        <w:t>doi:10.1038/nn1714</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line="257" w:lineRule="auto"/>
        <w:jc w:val="right"/>
        <w:rPr>
          <w:color w:val="auto"/>
          <w:sz w:val="20"/>
          <w:szCs w:val="20"/>
        </w:rPr>
      </w:pPr>
      <w:r>
        <w:rPr>
          <w:rFonts w:ascii="Times" w:hAnsi="Times" w:eastAsia="Times" w:cs="Times"/>
          <w:color w:val="auto"/>
          <w:sz w:val="16"/>
          <w:szCs w:val="16"/>
        </w:rPr>
        <w:t xml:space="preserve">Stuphorn, V., Taylor, T. L., &amp; Schall, J. D. (2000, December 14). Perfor-mance monitoring by the supplementary eye field. </w:t>
      </w:r>
      <w:r>
        <w:rPr>
          <w:rFonts w:ascii="Times" w:hAnsi="Times" w:eastAsia="Times" w:cs="Times"/>
          <w:i/>
          <w:iCs/>
          <w:color w:val="auto"/>
          <w:sz w:val="16"/>
          <w:szCs w:val="16"/>
        </w:rPr>
        <w:t>Nature, 408,</w:t>
      </w:r>
      <w:r>
        <w:rPr>
          <w:rFonts w:ascii="Times" w:hAnsi="Times" w:eastAsia="Times" w:cs="Times"/>
          <w:color w:val="auto"/>
          <w:sz w:val="16"/>
          <w:szCs w:val="16"/>
        </w:rPr>
        <w:t xml:space="preserve"> 857–</w:t>
      </w:r>
    </w:p>
    <w:p>
      <w:pPr>
        <w:spacing w:after="0" w:line="10" w:lineRule="exact"/>
        <w:rPr>
          <w:color w:val="auto"/>
          <w:sz w:val="20"/>
          <w:szCs w:val="20"/>
        </w:rPr>
      </w:pPr>
    </w:p>
    <w:p>
      <w:pPr>
        <w:numPr>
          <w:ilvl w:val="0"/>
          <w:numId w:val="14"/>
        </w:numPr>
        <w:tabs>
          <w:tab w:val="left" w:pos="500"/>
        </w:tabs>
        <w:spacing w:after="0"/>
        <w:ind w:left="500" w:hanging="340"/>
        <w:rPr>
          <w:rFonts w:ascii="Times" w:hAnsi="Times" w:eastAsia="Times" w:cs="Times"/>
          <w:color w:val="00007C"/>
          <w:sz w:val="16"/>
          <w:szCs w:val="16"/>
        </w:rPr>
      </w:pPr>
      <w:r>
        <w:fldChar w:fldCharType="begin"/>
      </w:r>
      <w:r>
        <w:instrText xml:space="preserve"> HYPERLINK "http://dx.doi.org/10.1038/35048576" \h </w:instrText>
      </w:r>
      <w:r>
        <w:fldChar w:fldCharType="separate"/>
      </w:r>
      <w:r>
        <w:rPr>
          <w:rFonts w:ascii="Times" w:hAnsi="Times" w:eastAsia="Times" w:cs="Times"/>
          <w:color w:val="00007C"/>
          <w:sz w:val="16"/>
          <w:szCs w:val="16"/>
        </w:rPr>
        <w:t>doi:10.1038/35048576</w:t>
      </w:r>
      <w:r>
        <w:rPr>
          <w:rFonts w:ascii="Times" w:hAnsi="Times" w:eastAsia="Times" w:cs="Times"/>
          <w:color w:val="00007C"/>
          <w:sz w:val="16"/>
          <w:szCs w:val="16"/>
        </w:rPr>
        <w:fldChar w:fldCharType="end"/>
      </w:r>
    </w:p>
    <w:p>
      <w:pPr>
        <w:spacing w:after="0" w:line="30" w:lineRule="exact"/>
        <w:rPr>
          <w:color w:val="auto"/>
          <w:sz w:val="20"/>
          <w:szCs w:val="20"/>
        </w:rPr>
      </w:pPr>
    </w:p>
    <w:p>
      <w:pPr>
        <w:spacing w:after="0"/>
        <w:rPr>
          <w:color w:val="auto"/>
          <w:sz w:val="20"/>
          <w:szCs w:val="20"/>
        </w:rPr>
      </w:pPr>
      <w:r>
        <w:rPr>
          <w:rFonts w:ascii="Times" w:hAnsi="Times" w:eastAsia="Times" w:cs="Times"/>
          <w:color w:val="auto"/>
          <w:sz w:val="14"/>
          <w:szCs w:val="14"/>
        </w:rPr>
        <w:t>Swann, N. C., Cai, W., Conner, C. R., Pieters, T. A., Claffey, M. P., George, J. S.,</w:t>
      </w:r>
    </w:p>
    <w:p>
      <w:pPr>
        <w:spacing w:after="0" w:line="45" w:lineRule="exact"/>
        <w:rPr>
          <w:color w:val="auto"/>
          <w:sz w:val="20"/>
          <w:szCs w:val="20"/>
        </w:rPr>
      </w:pPr>
    </w:p>
    <w:p>
      <w:pPr>
        <w:spacing w:after="0" w:line="265" w:lineRule="auto"/>
        <w:ind w:left="160"/>
        <w:jc w:val="both"/>
        <w:rPr>
          <w:rFonts w:ascii="Times" w:hAnsi="Times" w:eastAsia="Times" w:cs="Times"/>
          <w:color w:val="00007C"/>
          <w:sz w:val="16"/>
          <w:szCs w:val="16"/>
        </w:rPr>
      </w:pPr>
      <w:r>
        <w:rPr>
          <w:rFonts w:ascii="Times" w:hAnsi="Times" w:eastAsia="Times" w:cs="Times"/>
          <w:color w:val="auto"/>
          <w:sz w:val="16"/>
          <w:szCs w:val="16"/>
        </w:rPr>
        <w:t xml:space="preserve">. . . Tandon, N. (2012). Roles for the pre-supplementary motor area and the right inferior frontal gyrus in stopping action: Electrophysiological responses and functional and structural connectivity. </w:t>
      </w:r>
      <w:r>
        <w:rPr>
          <w:rFonts w:ascii="Times" w:hAnsi="Times" w:eastAsia="Times" w:cs="Times"/>
          <w:i/>
          <w:iCs/>
          <w:color w:val="auto"/>
          <w:sz w:val="16"/>
          <w:szCs w:val="16"/>
        </w:rPr>
        <w:t>NeuroImage, 59,</w:t>
      </w:r>
      <w:r>
        <w:rPr>
          <w:rFonts w:ascii="Times" w:hAnsi="Times" w:eastAsia="Times" w:cs="Times"/>
          <w:color w:val="auto"/>
          <w:sz w:val="16"/>
          <w:szCs w:val="16"/>
        </w:rPr>
        <w:t xml:space="preserve"> 2860 –2870. </w:t>
      </w:r>
      <w:r>
        <w:fldChar w:fldCharType="begin"/>
      </w:r>
      <w:r>
        <w:instrText xml:space="preserve"> HYPERLINK "http://dx.doi.org/10.1016/j.neuroimage.2011.09.049"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"http://dx.doi.org/10.1016/j.neuroimage.2011.09.049" \h </w:instrText>
      </w:r>
      <w:r>
        <w:fldChar w:fldCharType="separate"/>
      </w:r>
      <w:r>
        <w:rPr>
          <w:rFonts w:ascii="Times" w:hAnsi="Times" w:eastAsia="Times" w:cs="Times"/>
          <w:color w:val="00007C"/>
          <w:sz w:val="16"/>
          <w:szCs w:val="16"/>
        </w:rPr>
        <w:t>10.1016/j.neuroimage.2011.09.049</w:t>
      </w:r>
      <w:r>
        <w:rPr>
          <w:rFonts w:ascii="Times" w:hAnsi="Times" w:eastAsia="Times" w:cs="Times"/>
          <w:color w:val="00007C"/>
          <w:sz w:val="16"/>
          <w:szCs w:val="16"/>
        </w:rPr>
        <w:fldChar w:fldCharType="end"/>
      </w:r>
    </w:p>
    <w:p>
      <w:pPr>
        <w:spacing w:after="0" w:line="11" w:lineRule="exact"/>
        <w:rPr>
          <w:color w:val="auto"/>
          <w:sz w:val="20"/>
          <w:szCs w:val="20"/>
        </w:rPr>
      </w:pPr>
    </w:p>
    <w:p>
      <w:pPr>
        <w:spacing w:after="0"/>
        <w:rPr>
          <w:color w:val="auto"/>
          <w:sz w:val="20"/>
          <w:szCs w:val="20"/>
        </w:rPr>
      </w:pPr>
      <w:r>
        <w:rPr>
          <w:rFonts w:ascii="Times" w:hAnsi="Times" w:eastAsia="Times" w:cs="Times"/>
          <w:color w:val="auto"/>
          <w:sz w:val="15"/>
          <w:szCs w:val="15"/>
        </w:rPr>
        <w:t>Swann, N., Poizner, H., Houser, M., Gould, S., Greenhouse, I., Cai, W., . . .</w:t>
      </w:r>
    </w:p>
    <w:p>
      <w:pPr>
        <w:spacing w:after="0" w:line="33" w:lineRule="exact"/>
        <w:rPr>
          <w:color w:val="auto"/>
          <w:sz w:val="20"/>
          <w:szCs w:val="20"/>
        </w:rPr>
      </w:pPr>
    </w:p>
    <w:p>
      <w:pPr>
        <w:numPr>
          <w:ilvl w:val="0"/>
          <w:numId w:val="0"/>
        </w:numPr>
        <w:ind w:firstLine="320" w:firstLineChars="200"/>
        <w:rPr>
          <w:rFonts w:ascii="Times" w:hAnsi="Times" w:eastAsia="Times" w:cs="Times"/>
          <w:color w:val="auto"/>
          <w:sz w:val="16"/>
          <w:szCs w:val="16"/>
        </w:rPr>
      </w:pPr>
      <w:r>
        <w:rPr>
          <w:rFonts w:ascii="Times" w:hAnsi="Times" w:eastAsia="Times" w:cs="Times"/>
          <w:color w:val="auto"/>
          <w:sz w:val="16"/>
          <w:szCs w:val="16"/>
        </w:rPr>
        <w:t>Aron, A. R. (2011). Deep brain stimulation of the subthalamic nucleus alters the cortical profile of response inhibition in the beta frequency</w:t>
      </w:r>
    </w:p>
    <w:p>
      <w:pPr>
        <w:spacing w:after="0" w:line="250" w:lineRule="auto"/>
        <w:ind w:left="160"/>
        <w:rPr>
          <w:color w:val="auto"/>
          <w:sz w:val="20"/>
          <w:szCs w:val="20"/>
        </w:rPr>
      </w:pPr>
      <w:r>
        <w:rPr>
          <w:rFonts w:ascii="Times" w:hAnsi="Times" w:eastAsia="Times" w:cs="Times"/>
          <w:color w:val="auto"/>
          <w:sz w:val="16"/>
          <w:szCs w:val="16"/>
        </w:rPr>
        <w:t xml:space="preserve">band: A scalp EEG study in Parkinson’s disease. </w:t>
      </w:r>
      <w:r>
        <w:rPr>
          <w:rFonts w:ascii="Times" w:hAnsi="Times" w:eastAsia="Times" w:cs="Times"/>
          <w:i/>
          <w:iCs/>
          <w:color w:val="auto"/>
          <w:sz w:val="16"/>
          <w:szCs w:val="16"/>
        </w:rPr>
        <w:t xml:space="preserve">The Journal of Neu-roscience, 31, </w:t>
      </w:r>
      <w:r>
        <w:rPr>
          <w:rFonts w:ascii="Times" w:hAnsi="Times" w:eastAsia="Times" w:cs="Times"/>
          <w:color w:val="auto"/>
          <w:sz w:val="16"/>
          <w:szCs w:val="16"/>
        </w:rPr>
        <w:t>5721–5729.</w:t>
      </w:r>
    </w:p>
    <w:p>
      <w:pPr>
        <w:spacing w:after="0" w:line="17" w:lineRule="exact"/>
        <w:rPr>
          <w:color w:val="auto"/>
          <w:sz w:val="20"/>
          <w:szCs w:val="20"/>
        </w:rPr>
      </w:pPr>
    </w:p>
    <w:p>
      <w:pPr>
        <w:spacing w:after="0" w:line="257"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Taverna, S., Ilijic, E., &amp; Surmeier, D. J. (2008). Recurrent collateral connections of striatal medium spiny neurons are disrupted in models of Parkinson’s disease. </w:t>
      </w:r>
      <w:r>
        <w:rPr>
          <w:rFonts w:ascii="Times" w:hAnsi="Times" w:eastAsia="Times" w:cs="Times"/>
          <w:i/>
          <w:iCs/>
          <w:color w:val="auto"/>
          <w:sz w:val="16"/>
          <w:szCs w:val="16"/>
        </w:rPr>
        <w:t>The Journal of Neuroscience, 28,</w:t>
      </w:r>
      <w:r>
        <w:rPr>
          <w:rFonts w:ascii="Times" w:hAnsi="Times" w:eastAsia="Times" w:cs="Times"/>
          <w:color w:val="auto"/>
          <w:sz w:val="16"/>
          <w:szCs w:val="16"/>
        </w:rPr>
        <w:t xml:space="preserve"> 5504 –5512. </w:t>
      </w:r>
      <w:r>
        <w:fldChar w:fldCharType="begin"/>
      </w:r>
      <w:r>
        <w:instrText xml:space="preserve"> HYPERLINK "http://dx.doi.org/10.1523/JNEUROSCI.5493-07.2008" \h </w:instrText>
      </w:r>
      <w:r>
        <w:fldChar w:fldCharType="separate"/>
      </w:r>
      <w:r>
        <w:rPr>
          <w:rFonts w:ascii="Times" w:hAnsi="Times" w:eastAsia="Times" w:cs="Times"/>
          <w:color w:val="00007C"/>
          <w:sz w:val="16"/>
          <w:szCs w:val="16"/>
        </w:rPr>
        <w:t>doi:10.1523/JNEUROSCI.5493-07.2008</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57"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van Koningsbruggen, M. G., Pender, T., Machado, L., &amp; Rafal, R. D. (2009). Impaired control of the oculomotor reflexes in Parkinson’s disease. </w:t>
      </w:r>
      <w:r>
        <w:rPr>
          <w:rFonts w:ascii="Times" w:hAnsi="Times" w:eastAsia="Times" w:cs="Times"/>
          <w:i/>
          <w:iCs/>
          <w:color w:val="auto"/>
          <w:sz w:val="16"/>
          <w:szCs w:val="16"/>
        </w:rPr>
        <w:t>Neuropsychologia, 47,</w:t>
      </w:r>
      <w:r>
        <w:rPr>
          <w:rFonts w:ascii="Times" w:hAnsi="Times" w:eastAsia="Times" w:cs="Times"/>
          <w:color w:val="auto"/>
          <w:sz w:val="16"/>
          <w:szCs w:val="16"/>
        </w:rPr>
        <w:t xml:space="preserve"> 2909 –2915. </w:t>
      </w:r>
      <w:r>
        <w:fldChar w:fldCharType="begin"/>
      </w:r>
      <w:r>
        <w:instrText xml:space="preserve"> HYPERLINK "http://dx.doi.org/10.1016/j.neuropsychologia.2009.06.018" \h </w:instrText>
      </w:r>
      <w:r>
        <w:fldChar w:fldCharType="separate"/>
      </w:r>
      <w:r>
        <w:rPr>
          <w:rFonts w:ascii="Times" w:hAnsi="Times" w:eastAsia="Times" w:cs="Times"/>
          <w:color w:val="00007C"/>
          <w:sz w:val="16"/>
          <w:szCs w:val="16"/>
        </w:rPr>
        <w:t>doi:10.1016/j.neuropsycho</w:t>
      </w:r>
      <w:r>
        <w:rPr>
          <w:rFonts w:ascii="Times" w:hAnsi="Times" w:eastAsia="Times" w:cs="Times"/>
          <w:color w:val="00007C"/>
          <w:sz w:val="16"/>
          <w:szCs w:val="16"/>
        </w:rPr>
        <w:fldChar w:fldCharType="end"/>
      </w:r>
      <w:r>
        <w:rPr>
          <w:rFonts w:ascii="Times" w:hAnsi="Times" w:eastAsia="Times" w:cs="Times"/>
          <w:color w:val="auto"/>
          <w:sz w:val="16"/>
          <w:szCs w:val="16"/>
        </w:rPr>
        <w:t xml:space="preserve"> </w:t>
      </w:r>
      <w:r>
        <w:fldChar w:fldCharType="begin"/>
      </w:r>
      <w:r>
        <w:instrText xml:space="preserve"> HYPERLINK "http://dx.doi.org/10.1016/j.neuropsychologia.2009.06.018" \h </w:instrText>
      </w:r>
      <w:r>
        <w:fldChar w:fldCharType="separate"/>
      </w:r>
      <w:r>
        <w:rPr>
          <w:rFonts w:ascii="Times" w:hAnsi="Times" w:eastAsia="Times" w:cs="Times"/>
          <w:color w:val="00007C"/>
          <w:sz w:val="16"/>
          <w:szCs w:val="16"/>
        </w:rPr>
        <w:t>logia.2009.06.018</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58" w:lineRule="auto"/>
        <w:jc w:val="right"/>
        <w:rPr>
          <w:rFonts w:ascii="Times" w:hAnsi="Times" w:eastAsia="Times" w:cs="Times"/>
          <w:i/>
          <w:iCs/>
          <w:color w:val="auto"/>
          <w:sz w:val="16"/>
          <w:szCs w:val="16"/>
        </w:rPr>
      </w:pPr>
      <w:r>
        <w:rPr>
          <w:rFonts w:ascii="Times" w:hAnsi="Times" w:eastAsia="Times" w:cs="Times"/>
          <w:color w:val="auto"/>
          <w:sz w:val="16"/>
          <w:szCs w:val="16"/>
        </w:rPr>
        <w:t xml:space="preserve">Vazey, E. M., &amp; Aston-Jones, G. (2012). The emerging role of norepi-nephrine in cognitive dysfunctions of Parkinson’s disease. </w:t>
      </w:r>
      <w:r>
        <w:rPr>
          <w:rFonts w:ascii="Times" w:hAnsi="Times" w:eastAsia="Times" w:cs="Times"/>
          <w:i/>
          <w:iCs/>
          <w:color w:val="auto"/>
          <w:sz w:val="16"/>
          <w:szCs w:val="16"/>
        </w:rPr>
        <w:t>Frontiers</w:t>
      </w:r>
      <w:r>
        <w:rPr>
          <w:rFonts w:ascii="Times" w:hAnsi="Times" w:eastAsia="Times" w:cs="Times"/>
          <w:color w:val="auto"/>
          <w:sz w:val="16"/>
          <w:szCs w:val="16"/>
        </w:rPr>
        <w:t xml:space="preserve"> </w:t>
      </w:r>
      <w:r>
        <w:rPr>
          <w:rFonts w:ascii="Times" w:hAnsi="Times" w:eastAsia="Times" w:cs="Times"/>
          <w:i/>
          <w:iCs/>
          <w:color w:val="auto"/>
          <w:sz w:val="16"/>
          <w:szCs w:val="16"/>
        </w:rPr>
        <w:t xml:space="preserve">in Behavioral Neuroscience, 6, </w:t>
      </w:r>
      <w:r>
        <w:rPr>
          <w:rFonts w:ascii="Times" w:hAnsi="Times" w:eastAsia="Times" w:cs="Times"/>
          <w:color w:val="auto"/>
          <w:sz w:val="16"/>
          <w:szCs w:val="16"/>
        </w:rPr>
        <w:t>48.</w:t>
      </w:r>
      <w:r>
        <w:rPr>
          <w:rFonts w:ascii="Times" w:hAnsi="Times" w:eastAsia="Times" w:cs="Times"/>
          <w:i/>
          <w:iCs/>
          <w:color w:val="auto"/>
          <w:sz w:val="16"/>
          <w:szCs w:val="16"/>
        </w:rPr>
        <w:t xml:space="preserve"> </w:t>
      </w:r>
      <w:r>
        <w:fldChar w:fldCharType="begin"/>
      </w:r>
      <w:r>
        <w:instrText xml:space="preserve"> HYPERLINK "http://dx.doi.org/10.3389/fnbeh.2012.00048" \h </w:instrText>
      </w:r>
      <w:r>
        <w:fldChar w:fldCharType="separate"/>
      </w:r>
      <w:r>
        <w:rPr>
          <w:rFonts w:ascii="Times" w:hAnsi="Times" w:eastAsia="Times" w:cs="Times"/>
          <w:color w:val="00007C"/>
          <w:sz w:val="16"/>
          <w:szCs w:val="16"/>
        </w:rPr>
        <w:t>doi: 10.3389/fnbeh.2012.00048</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rPr>
          <w:rFonts w:ascii="Times" w:hAnsi="Times" w:eastAsia="Times" w:cs="Times"/>
          <w:color w:val="auto"/>
          <w:sz w:val="16"/>
          <w:szCs w:val="16"/>
        </w:rPr>
        <w:t xml:space="preserve">Verbruggen, F., Aron, A. R., Stevens, M. A., &amp; Chambers, C. D. (2010). Theta burst stimulation dissociates attention and action updating in human inferior frontal cortex. </w:t>
      </w:r>
      <w:r>
        <w:rPr>
          <w:rFonts w:ascii="Times" w:hAnsi="Times" w:eastAsia="Times" w:cs="Times"/>
          <w:i/>
          <w:iCs/>
          <w:color w:val="auto"/>
          <w:sz w:val="16"/>
          <w:szCs w:val="16"/>
        </w:rPr>
        <w:t>Proceedings of the National Academy of</w:t>
      </w:r>
    </w:p>
    <w:p>
      <w:pPr>
        <w:spacing w:after="0" w:line="13" w:lineRule="exact"/>
        <w:rPr>
          <w:color w:val="auto"/>
          <w:sz w:val="20"/>
          <w:szCs w:val="20"/>
        </w:rPr>
      </w:pPr>
    </w:p>
    <w:p>
      <w:pPr>
        <w:spacing w:after="0" w:line="250" w:lineRule="auto"/>
        <w:ind w:firstLine="160"/>
        <w:jc w:val="both"/>
        <w:rPr>
          <w:rFonts w:ascii="Times" w:hAnsi="Times" w:eastAsia="Times" w:cs="Times"/>
          <w:i/>
          <w:iCs/>
          <w:color w:val="auto"/>
          <w:sz w:val="16"/>
          <w:szCs w:val="16"/>
        </w:rPr>
      </w:pPr>
      <w:r>
        <w:rPr>
          <w:rFonts w:ascii="Times" w:hAnsi="Times" w:eastAsia="Times" w:cs="Times"/>
          <w:i/>
          <w:iCs/>
          <w:color w:val="auto"/>
          <w:sz w:val="16"/>
          <w:szCs w:val="16"/>
        </w:rPr>
        <w:t xml:space="preserve">Sciences, USA, 107, </w:t>
      </w:r>
      <w:r>
        <w:rPr>
          <w:rFonts w:ascii="Times" w:hAnsi="Times" w:eastAsia="Times" w:cs="Times"/>
          <w:color w:val="auto"/>
          <w:sz w:val="16"/>
          <w:szCs w:val="16"/>
        </w:rPr>
        <w:t>13966 –13971.</w:t>
      </w:r>
      <w:r>
        <w:rPr>
          <w:rFonts w:ascii="Times" w:hAnsi="Times" w:eastAsia="Times" w:cs="Times"/>
          <w:i/>
          <w:iCs/>
          <w:color w:val="auto"/>
          <w:sz w:val="16"/>
          <w:szCs w:val="16"/>
        </w:rPr>
        <w:t xml:space="preserve"> </w:t>
      </w:r>
      <w:r>
        <w:fldChar w:fldCharType="begin"/>
      </w:r>
      <w:r>
        <w:instrText xml:space="preserve"> HYPERLINK "http://dx.doi.org/10.1073/pnas.1001957107" \h </w:instrText>
      </w:r>
      <w:r>
        <w:fldChar w:fldCharType="separate"/>
      </w:r>
      <w:r>
        <w:rPr>
          <w:rFonts w:ascii="Times" w:hAnsi="Times" w:eastAsia="Times" w:cs="Times"/>
          <w:color w:val="00007C"/>
          <w:sz w:val="16"/>
          <w:szCs w:val="16"/>
        </w:rPr>
        <w:t>doi:10.1073/pnas.1001957107</w:t>
      </w:r>
      <w:r>
        <w:rPr>
          <w:rFonts w:ascii="Times" w:hAnsi="Times" w:eastAsia="Times" w:cs="Times"/>
          <w:color w:val="00007C"/>
          <w:sz w:val="16"/>
          <w:szCs w:val="16"/>
        </w:rPr>
        <w:fldChar w:fldCharType="end"/>
      </w:r>
      <w:r>
        <w:rPr>
          <w:rFonts w:ascii="Times" w:hAnsi="Times" w:eastAsia="Times" w:cs="Times"/>
          <w:i/>
          <w:iCs/>
          <w:color w:val="auto"/>
          <w:sz w:val="16"/>
          <w:szCs w:val="16"/>
        </w:rPr>
        <w:t xml:space="preserve"> </w:t>
      </w:r>
      <w:r>
        <w:rPr>
          <w:rFonts w:ascii="Times" w:hAnsi="Times" w:eastAsia="Times" w:cs="Times"/>
          <w:color w:val="auto"/>
          <w:sz w:val="16"/>
          <w:szCs w:val="16"/>
        </w:rPr>
        <w:t>Verbruggen, F., &amp; Logan, G. D. (2008). Response inhibition in the stop-</w:t>
      </w:r>
    </w:p>
    <w:p>
      <w:pPr>
        <w:spacing w:after="0" w:line="9" w:lineRule="exact"/>
        <w:rPr>
          <w:color w:val="auto"/>
          <w:sz w:val="20"/>
          <w:szCs w:val="20"/>
        </w:rPr>
      </w:pPr>
    </w:p>
    <w:p>
      <w:pPr>
        <w:spacing w:after="0"/>
        <w:ind w:left="160"/>
        <w:rPr>
          <w:rFonts w:ascii="Times" w:hAnsi="Times" w:eastAsia="Times" w:cs="Times"/>
          <w:color w:val="auto"/>
          <w:sz w:val="16"/>
          <w:szCs w:val="16"/>
        </w:rPr>
      </w:pPr>
      <w:r>
        <w:rPr>
          <w:rFonts w:ascii="Times" w:hAnsi="Times" w:eastAsia="Times" w:cs="Times"/>
          <w:color w:val="auto"/>
          <w:sz w:val="16"/>
          <w:szCs w:val="16"/>
        </w:rPr>
        <w:t xml:space="preserve">signal paradigm. </w:t>
      </w:r>
      <w:r>
        <w:rPr>
          <w:rFonts w:ascii="Times" w:hAnsi="Times" w:eastAsia="Times" w:cs="Times"/>
          <w:i/>
          <w:iCs/>
          <w:color w:val="auto"/>
          <w:sz w:val="16"/>
          <w:szCs w:val="16"/>
        </w:rPr>
        <w:t>Trends in Cognitive Sciences, 12,</w:t>
      </w:r>
      <w:r>
        <w:rPr>
          <w:rFonts w:ascii="Times" w:hAnsi="Times" w:eastAsia="Times" w:cs="Times"/>
          <w:color w:val="auto"/>
          <w:sz w:val="16"/>
          <w:szCs w:val="16"/>
        </w:rPr>
        <w:t xml:space="preserve"> 418 – 424. </w:t>
      </w:r>
      <w:r>
        <w:fldChar w:fldCharType="begin"/>
      </w:r>
      <w:r>
        <w:instrText xml:space="preserve"> HYPERLINK "http://dx.doi.org/10.1016/j.tics.2008.07.005" \h </w:instrText>
      </w:r>
      <w:r>
        <w:fldChar w:fldCharType="separate"/>
      </w:r>
      <w:r>
        <w:rPr>
          <w:rFonts w:ascii="Times" w:hAnsi="Times" w:eastAsia="Times" w:cs="Times"/>
          <w:color w:val="00007C"/>
          <w:sz w:val="16"/>
          <w:szCs w:val="16"/>
        </w:rPr>
        <w:t>doi:</w:t>
      </w:r>
      <w:r>
        <w:rPr>
          <w:rFonts w:ascii="Times" w:hAnsi="Times" w:eastAsia="Times" w:cs="Times"/>
          <w:color w:val="00007C"/>
          <w:sz w:val="16"/>
          <w:szCs w:val="16"/>
        </w:rPr>
        <w:fldChar w:fldCharType="end"/>
      </w:r>
    </w:p>
    <w:p>
      <w:pPr>
        <w:spacing w:after="0" w:line="16" w:lineRule="exact"/>
        <w:rPr>
          <w:color w:val="auto"/>
          <w:sz w:val="20"/>
          <w:szCs w:val="20"/>
        </w:rPr>
      </w:pPr>
    </w:p>
    <w:p>
      <w:pPr>
        <w:spacing w:after="0"/>
        <w:ind w:left="160"/>
        <w:rPr>
          <w:rFonts w:ascii="Times" w:hAnsi="Times" w:eastAsia="Times" w:cs="Times"/>
          <w:color w:val="00007C"/>
          <w:sz w:val="16"/>
          <w:szCs w:val="16"/>
        </w:rPr>
      </w:pPr>
      <w:r>
        <w:fldChar w:fldCharType="begin"/>
      </w:r>
      <w:r>
        <w:instrText xml:space="preserve"> HYPERLINK "http://dx.doi.org/10.1016/j.tics.2008.07.005" \h </w:instrText>
      </w:r>
      <w:r>
        <w:fldChar w:fldCharType="separate"/>
      </w:r>
      <w:r>
        <w:rPr>
          <w:rFonts w:ascii="Times" w:hAnsi="Times" w:eastAsia="Times" w:cs="Times"/>
          <w:color w:val="00007C"/>
          <w:sz w:val="16"/>
          <w:szCs w:val="16"/>
        </w:rPr>
        <w:t>10.1016/j.tics.2008.07.005</w:t>
      </w:r>
      <w:r>
        <w:rPr>
          <w:rFonts w:ascii="Times" w:hAnsi="Times" w:eastAsia="Times" w:cs="Times"/>
          <w:color w:val="00007C"/>
          <w:sz w:val="16"/>
          <w:szCs w:val="16"/>
        </w:rPr>
        <w:fldChar w:fldCharType="end"/>
      </w:r>
    </w:p>
    <w:p>
      <w:pPr>
        <w:spacing w:after="0" w:line="24" w:lineRule="exact"/>
        <w:rPr>
          <w:color w:val="auto"/>
          <w:sz w:val="20"/>
          <w:szCs w:val="20"/>
        </w:rPr>
      </w:pPr>
    </w:p>
    <w:p>
      <w:pPr>
        <w:spacing w:after="0" w:line="278" w:lineRule="auto"/>
        <w:ind w:left="160" w:hanging="159"/>
        <w:jc w:val="both"/>
        <w:rPr>
          <w:rFonts w:ascii="Times" w:hAnsi="Times" w:eastAsia="Times" w:cs="Times"/>
          <w:i/>
          <w:iCs/>
          <w:color w:val="auto"/>
          <w:sz w:val="15"/>
          <w:szCs w:val="15"/>
        </w:rPr>
      </w:pPr>
      <w:r>
        <w:rPr>
          <w:rFonts w:ascii="Times" w:hAnsi="Times" w:eastAsia="Times" w:cs="Times"/>
          <w:color w:val="auto"/>
          <w:sz w:val="15"/>
          <w:szCs w:val="15"/>
        </w:rPr>
        <w:t xml:space="preserve">Verbruggen, F., &amp; Logan, G. D. (2009). Models of response inhibition in the stop-signal and stop-change paradigms. </w:t>
      </w:r>
      <w:r>
        <w:rPr>
          <w:rFonts w:ascii="Times" w:hAnsi="Times" w:eastAsia="Times" w:cs="Times"/>
          <w:i/>
          <w:iCs/>
          <w:color w:val="auto"/>
          <w:sz w:val="15"/>
          <w:szCs w:val="15"/>
        </w:rPr>
        <w:t xml:space="preserve">Neuroscience and Biobehav-ioral Reviews, 33, </w:t>
      </w:r>
      <w:r>
        <w:rPr>
          <w:rFonts w:ascii="Times" w:hAnsi="Times" w:eastAsia="Times" w:cs="Times"/>
          <w:color w:val="auto"/>
          <w:sz w:val="15"/>
          <w:szCs w:val="15"/>
        </w:rPr>
        <w:t>647– 661.</w:t>
      </w:r>
      <w:r>
        <w:rPr>
          <w:rFonts w:ascii="Times" w:hAnsi="Times" w:eastAsia="Times" w:cs="Times"/>
          <w:i/>
          <w:iCs/>
          <w:color w:val="auto"/>
          <w:sz w:val="15"/>
          <w:szCs w:val="15"/>
        </w:rPr>
        <w:t xml:space="preserve"> </w:t>
      </w:r>
      <w:r>
        <w:fldChar w:fldCharType="begin"/>
      </w:r>
      <w:r>
        <w:instrText xml:space="preserve"> HYPERLINK "http://dx.doi.org/10.1016/j.neubiorev.2008.08.014" \h </w:instrText>
      </w:r>
      <w:r>
        <w:fldChar w:fldCharType="separate"/>
      </w:r>
      <w:r>
        <w:rPr>
          <w:rFonts w:ascii="Times" w:hAnsi="Times" w:eastAsia="Times" w:cs="Times"/>
          <w:color w:val="00007C"/>
          <w:sz w:val="15"/>
          <w:szCs w:val="15"/>
        </w:rPr>
        <w:t>doi:10.1016/j.neubiorev.2008.08.014</w:t>
      </w:r>
      <w:r>
        <w:rPr>
          <w:rFonts w:ascii="Times" w:hAnsi="Times" w:eastAsia="Times" w:cs="Times"/>
          <w:color w:val="00007C"/>
          <w:sz w:val="15"/>
          <w:szCs w:val="15"/>
        </w:rPr>
        <w:fldChar w:fldCharType="end"/>
      </w:r>
    </w:p>
    <w:p>
      <w:pPr>
        <w:spacing w:after="0" w:line="1" w:lineRule="exact"/>
        <w:rPr>
          <w:color w:val="auto"/>
          <w:sz w:val="20"/>
          <w:szCs w:val="20"/>
        </w:rPr>
      </w:pPr>
    </w:p>
    <w:p>
      <w:pPr>
        <w:spacing w:after="0" w:line="257"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Voon, V., Pessiglione, M., Brezing, C., Gallea, C., Fernandez, H. H., Dolan, R. J., &amp; Hallett, M. (2010). Mechanisms underlying dopamine-mediated reward bias in compulsive behaviors. </w:t>
      </w:r>
      <w:r>
        <w:rPr>
          <w:rFonts w:ascii="Times" w:hAnsi="Times" w:eastAsia="Times" w:cs="Times"/>
          <w:i/>
          <w:iCs/>
          <w:color w:val="auto"/>
          <w:sz w:val="16"/>
          <w:szCs w:val="16"/>
        </w:rPr>
        <w:t>Neuron, 65,</w:t>
      </w:r>
      <w:r>
        <w:rPr>
          <w:rFonts w:ascii="Times" w:hAnsi="Times" w:eastAsia="Times" w:cs="Times"/>
          <w:color w:val="auto"/>
          <w:sz w:val="16"/>
          <w:szCs w:val="16"/>
        </w:rPr>
        <w:t xml:space="preserve"> 135–142. </w:t>
      </w:r>
      <w:r>
        <w:fldChar w:fldCharType="begin"/>
      </w:r>
      <w:r>
        <w:instrText xml:space="preserve"> HYPERLINK "http://dx.doi.org/10.1016/j.neuron.2009.12.027" \h </w:instrText>
      </w:r>
      <w:r>
        <w:fldChar w:fldCharType="separate"/>
      </w:r>
      <w:r>
        <w:rPr>
          <w:rFonts w:ascii="Times" w:hAnsi="Times" w:eastAsia="Times" w:cs="Times"/>
          <w:color w:val="00007C"/>
          <w:sz w:val="16"/>
          <w:szCs w:val="16"/>
        </w:rPr>
        <w:t>doi:10.1016/j.neuron.2009.12.027</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57"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Wallis, J. D., &amp; Miller, E. K. (2003). Neuronal activity in primate dorso-lateral and orbital prefrontal cortex during performance of a reward preference task. </w:t>
      </w:r>
      <w:r>
        <w:rPr>
          <w:rFonts w:ascii="Times" w:hAnsi="Times" w:eastAsia="Times" w:cs="Times"/>
          <w:i/>
          <w:iCs/>
          <w:color w:val="auto"/>
          <w:sz w:val="16"/>
          <w:szCs w:val="16"/>
        </w:rPr>
        <w:t>European Journal of Neuroscience, 18,</w:t>
      </w:r>
      <w:r>
        <w:rPr>
          <w:rFonts w:ascii="Times" w:hAnsi="Times" w:eastAsia="Times" w:cs="Times"/>
          <w:color w:val="auto"/>
          <w:sz w:val="16"/>
          <w:szCs w:val="16"/>
        </w:rPr>
        <w:t xml:space="preserve"> 2069 –2081. </w:t>
      </w:r>
      <w:r>
        <w:fldChar w:fldCharType="begin"/>
      </w:r>
      <w:r>
        <w:instrText xml:space="preserve"> HYPERLINK "http://dx.doi.org/10.1046/j.1460-9568.2003.02922.x" \h </w:instrText>
      </w:r>
      <w:r>
        <w:fldChar w:fldCharType="separate"/>
      </w:r>
      <w:r>
        <w:rPr>
          <w:rFonts w:ascii="Times" w:hAnsi="Times" w:eastAsia="Times" w:cs="Times"/>
          <w:color w:val="00007C"/>
          <w:sz w:val="16"/>
          <w:szCs w:val="16"/>
        </w:rPr>
        <w:t>doi:10.1046/j.1460-9568.2003.02922.x</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55"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Wang, D., Kristjansson, A., &amp; Nakayama, K. (2005). Efficient visual search without top-down or bottom-up guidance. </w:t>
      </w:r>
      <w:r>
        <w:rPr>
          <w:rFonts w:ascii="Times" w:hAnsi="Times" w:eastAsia="Times" w:cs="Times"/>
          <w:i/>
          <w:iCs/>
          <w:color w:val="auto"/>
          <w:sz w:val="16"/>
          <w:szCs w:val="16"/>
        </w:rPr>
        <w:t xml:space="preserve">Perception &amp; Psycho-physics, 67, </w:t>
      </w:r>
      <w:r>
        <w:rPr>
          <w:rFonts w:ascii="Times" w:hAnsi="Times" w:eastAsia="Times" w:cs="Times"/>
          <w:color w:val="auto"/>
          <w:sz w:val="16"/>
          <w:szCs w:val="16"/>
        </w:rPr>
        <w:t>239 –253.</w:t>
      </w:r>
      <w:r>
        <w:rPr>
          <w:rFonts w:ascii="Times" w:hAnsi="Times" w:eastAsia="Times" w:cs="Times"/>
          <w:i/>
          <w:iCs/>
          <w:color w:val="auto"/>
          <w:sz w:val="16"/>
          <w:szCs w:val="16"/>
        </w:rPr>
        <w:t xml:space="preserve"> </w:t>
      </w:r>
      <w:r>
        <w:fldChar w:fldCharType="begin"/>
      </w:r>
      <w:r>
        <w:instrText xml:space="preserve"> HYPERLINK "http://dx.doi.org/10.3758/BF03206488" \h </w:instrText>
      </w:r>
      <w:r>
        <w:fldChar w:fldCharType="separate"/>
      </w:r>
      <w:r>
        <w:rPr>
          <w:rFonts w:ascii="Times" w:hAnsi="Times" w:eastAsia="Times" w:cs="Times"/>
          <w:color w:val="00007C"/>
          <w:sz w:val="16"/>
          <w:szCs w:val="16"/>
        </w:rPr>
        <w:t>doi:10.3758/BF03206488</w:t>
      </w:r>
      <w:r>
        <w:rPr>
          <w:rFonts w:ascii="Times" w:hAnsi="Times" w:eastAsia="Times" w:cs="Times"/>
          <w:color w:val="00007C"/>
          <w:sz w:val="16"/>
          <w:szCs w:val="16"/>
        </w:rPr>
        <w:fldChar w:fldCharType="end"/>
      </w:r>
    </w:p>
    <w:p>
      <w:pPr>
        <w:spacing w:after="0" w:line="14" w:lineRule="exact"/>
        <w:rPr>
          <w:color w:val="auto"/>
          <w:sz w:val="20"/>
          <w:szCs w:val="20"/>
        </w:rPr>
      </w:pPr>
    </w:p>
    <w:p>
      <w:pPr>
        <w:spacing w:after="0" w:line="257" w:lineRule="auto"/>
        <w:ind w:left="160" w:hanging="159"/>
        <w:jc w:val="both"/>
        <w:rPr>
          <w:rFonts w:ascii="Times" w:hAnsi="Times" w:eastAsia="Times" w:cs="Times"/>
          <w:i/>
          <w:iCs/>
          <w:color w:val="auto"/>
          <w:sz w:val="16"/>
          <w:szCs w:val="16"/>
        </w:rPr>
      </w:pPr>
      <w:r>
        <w:rPr>
          <w:rFonts w:ascii="Times" w:hAnsi="Times" w:eastAsia="Times" w:cs="Times"/>
          <w:color w:val="auto"/>
          <w:sz w:val="16"/>
          <w:szCs w:val="16"/>
        </w:rPr>
        <w:t xml:space="preserve">Wang, Y., Isoda, M., Matsuzaka, Y., Shima, K., &amp; Tanji, J. (2005). Prefrontal cortical cells projecting to the supplementary eye field and presupplementary motor area in the monkey. </w:t>
      </w:r>
      <w:r>
        <w:rPr>
          <w:rFonts w:ascii="Times" w:hAnsi="Times" w:eastAsia="Times" w:cs="Times"/>
          <w:i/>
          <w:iCs/>
          <w:color w:val="auto"/>
          <w:sz w:val="16"/>
          <w:szCs w:val="16"/>
        </w:rPr>
        <w:t>Neuroscience Research,</w:t>
      </w:r>
      <w:r>
        <w:rPr>
          <w:rFonts w:ascii="Times" w:hAnsi="Times" w:eastAsia="Times" w:cs="Times"/>
          <w:color w:val="auto"/>
          <w:sz w:val="16"/>
          <w:szCs w:val="16"/>
        </w:rPr>
        <w:t xml:space="preserve"> </w:t>
      </w:r>
      <w:r>
        <w:rPr>
          <w:rFonts w:ascii="Times" w:hAnsi="Times" w:eastAsia="Times" w:cs="Times"/>
          <w:i/>
          <w:iCs/>
          <w:color w:val="auto"/>
          <w:sz w:val="16"/>
          <w:szCs w:val="16"/>
        </w:rPr>
        <w:t xml:space="preserve">53, </w:t>
      </w:r>
      <w:r>
        <w:rPr>
          <w:rFonts w:ascii="Times" w:hAnsi="Times" w:eastAsia="Times" w:cs="Times"/>
          <w:color w:val="auto"/>
          <w:sz w:val="16"/>
          <w:szCs w:val="16"/>
        </w:rPr>
        <w:t>1–7.</w:t>
      </w:r>
      <w:r>
        <w:rPr>
          <w:rFonts w:ascii="Times" w:hAnsi="Times" w:eastAsia="Times" w:cs="Times"/>
          <w:i/>
          <w:iCs/>
          <w:color w:val="auto"/>
          <w:sz w:val="16"/>
          <w:szCs w:val="16"/>
        </w:rPr>
        <w:t xml:space="preserve"> </w:t>
      </w:r>
      <w:r>
        <w:fldChar w:fldCharType="begin"/>
      </w:r>
      <w:r>
        <w:instrText xml:space="preserve"> HYPERLINK "http://dx.doi.org/10.1016/j.neures.2005.05.005" \h </w:instrText>
      </w:r>
      <w:r>
        <w:fldChar w:fldCharType="separate"/>
      </w:r>
      <w:r>
        <w:rPr>
          <w:rFonts w:ascii="Times" w:hAnsi="Times" w:eastAsia="Times" w:cs="Times"/>
          <w:color w:val="00007C"/>
          <w:sz w:val="16"/>
          <w:szCs w:val="16"/>
        </w:rPr>
        <w:t>doi:10.1016/j.neures.2005.05.005</w:t>
      </w:r>
      <w:r>
        <w:rPr>
          <w:rFonts w:ascii="Times" w:hAnsi="Times" w:eastAsia="Times" w:cs="Times"/>
          <w:color w:val="00007C"/>
          <w:sz w:val="16"/>
          <w:szCs w:val="16"/>
        </w:rPr>
        <w:fldChar w:fldCharType="end"/>
      </w:r>
    </w:p>
    <w:p>
      <w:pPr>
        <w:spacing w:after="0" w:line="12" w:lineRule="exact"/>
        <w:rPr>
          <w:color w:val="auto"/>
          <w:sz w:val="20"/>
          <w:szCs w:val="20"/>
        </w:rPr>
      </w:pPr>
    </w:p>
    <w:p>
      <w:pPr>
        <w:spacing w:after="0" w:line="257" w:lineRule="auto"/>
        <w:ind w:left="160" w:hanging="159"/>
        <w:jc w:val="both"/>
        <w:rPr>
          <w:rFonts w:ascii="Times" w:hAnsi="Times" w:eastAsia="Times" w:cs="Times"/>
          <w:color w:val="00007C"/>
          <w:sz w:val="16"/>
          <w:szCs w:val="16"/>
        </w:rPr>
      </w:pPr>
      <w:r>
        <w:rPr>
          <w:rFonts w:ascii="Times" w:hAnsi="Times" w:eastAsia="Times" w:cs="Times"/>
          <w:color w:val="auto"/>
          <w:sz w:val="16"/>
          <w:szCs w:val="16"/>
        </w:rPr>
        <w:t xml:space="preserve">Watanabe, M., &amp; Munoz, D. P. (2009). Neural correlates of conflict resolution between automatic and volitional actions by basal ganglia. </w:t>
      </w:r>
      <w:r>
        <w:rPr>
          <w:rFonts w:ascii="Times" w:hAnsi="Times" w:eastAsia="Times" w:cs="Times"/>
          <w:i/>
          <w:iCs/>
          <w:color w:val="auto"/>
          <w:sz w:val="16"/>
          <w:szCs w:val="16"/>
        </w:rPr>
        <w:t xml:space="preserve">European Journal of Neuroscience, 30, </w:t>
      </w:r>
      <w:r>
        <w:rPr>
          <w:rFonts w:ascii="Times" w:hAnsi="Times" w:eastAsia="Times" w:cs="Times"/>
          <w:color w:val="auto"/>
          <w:sz w:val="16"/>
          <w:szCs w:val="16"/>
        </w:rPr>
        <w:t>2165–2176.</w:t>
      </w:r>
      <w:r>
        <w:rPr>
          <w:rFonts w:ascii="Times" w:hAnsi="Times" w:eastAsia="Times" w:cs="Times"/>
          <w:i/>
          <w:iCs/>
          <w:color w:val="auto"/>
          <w:sz w:val="16"/>
          <w:szCs w:val="16"/>
        </w:rPr>
        <w:t xml:space="preserve"> </w:t>
      </w:r>
      <w:r>
        <w:fldChar w:fldCharType="begin"/>
      </w:r>
      <w:r>
        <w:instrText xml:space="preserve"> HYPERLINK "http://dx.doi.org/10.1111/j.1460-9568.2009.06998.x" \h </w:instrText>
      </w:r>
      <w:r>
        <w:fldChar w:fldCharType="separate"/>
      </w:r>
      <w:r>
        <w:rPr>
          <w:rFonts w:ascii="Times" w:hAnsi="Times" w:eastAsia="Times" w:cs="Times"/>
          <w:color w:val="00007C"/>
          <w:sz w:val="16"/>
          <w:szCs w:val="16"/>
        </w:rPr>
        <w:t>doi:10.1111/j.1460-</w:t>
      </w:r>
      <w:r>
        <w:rPr>
          <w:rFonts w:ascii="Times" w:hAnsi="Times" w:eastAsia="Times" w:cs="Times"/>
          <w:color w:val="00007C"/>
          <w:sz w:val="16"/>
          <w:szCs w:val="16"/>
        </w:rPr>
        <w:fldChar w:fldCharType="end"/>
      </w:r>
      <w:r>
        <w:fldChar w:fldCharType="begin"/>
      </w:r>
      <w:r>
        <w:instrText xml:space="preserve"> HYPERLINK "http://dx.doi.org/10.1111/j.1460-9568.2009.06998.x" \h </w:instrText>
      </w:r>
      <w:r>
        <w:fldChar w:fldCharType="separate"/>
      </w:r>
      <w:r>
        <w:rPr>
          <w:rFonts w:ascii="Times" w:hAnsi="Times" w:eastAsia="Times" w:cs="Times"/>
          <w:color w:val="00007C"/>
          <w:sz w:val="16"/>
          <w:szCs w:val="16"/>
        </w:rPr>
        <w:t>9568.2009.06998.x</w:t>
      </w:r>
      <w:r>
        <w:rPr>
          <w:rFonts w:ascii="Times" w:hAnsi="Times" w:eastAsia="Times" w:cs="Times"/>
          <w:color w:val="00007C"/>
          <w:sz w:val="16"/>
          <w:szCs w:val="16"/>
        </w:rPr>
        <w:fldChar w:fldCharType="end"/>
      </w:r>
    </w:p>
    <w:p>
      <w:pPr>
        <w:spacing w:after="0" w:line="20" w:lineRule="exact"/>
        <w:rPr>
          <w:color w:val="auto"/>
          <w:sz w:val="20"/>
          <w:szCs w:val="20"/>
        </w:rPr>
      </w:pPr>
      <w:r>
        <w:rPr>
          <w:color w:val="auto"/>
          <w:sz w:val="20"/>
          <w:szCs w:val="20"/>
        </w:rPr>
        <w:br w:type="column"/>
      </w:r>
    </w:p>
    <w:p>
      <w:pPr>
        <w:spacing w:after="0" w:line="46" w:lineRule="exact"/>
        <w:rPr>
          <w:color w:val="auto"/>
          <w:sz w:val="20"/>
          <w:szCs w:val="20"/>
        </w:rPr>
      </w:pPr>
    </w:p>
    <w:p>
      <w:pPr>
        <w:spacing w:after="0" w:line="259" w:lineRule="auto"/>
        <w:ind w:hanging="159"/>
        <w:jc w:val="both"/>
        <w:rPr>
          <w:rFonts w:ascii="Times" w:hAnsi="Times" w:eastAsia="Times" w:cs="Times"/>
          <w:color w:val="00007C"/>
          <w:sz w:val="16"/>
          <w:szCs w:val="16"/>
        </w:rPr>
      </w:pPr>
      <w:r>
        <w:rPr>
          <w:rFonts w:ascii="Times" w:hAnsi="Times" w:eastAsia="Times" w:cs="Times"/>
          <w:color w:val="auto"/>
          <w:sz w:val="16"/>
          <w:szCs w:val="16"/>
        </w:rPr>
        <w:t xml:space="preserve">Watanabe, M., &amp; Munoz, D. P. (2010). Presetting basal ganglia for volitional actions. </w:t>
      </w:r>
      <w:r>
        <w:rPr>
          <w:rFonts w:ascii="Times" w:hAnsi="Times" w:eastAsia="Times" w:cs="Times"/>
          <w:i/>
          <w:iCs/>
          <w:color w:val="auto"/>
          <w:sz w:val="16"/>
          <w:szCs w:val="16"/>
        </w:rPr>
        <w:t>The Journal of Neuroscience, 30,</w:t>
      </w:r>
      <w:r>
        <w:rPr>
          <w:rFonts w:ascii="Times" w:hAnsi="Times" w:eastAsia="Times" w:cs="Times"/>
          <w:color w:val="auto"/>
          <w:sz w:val="16"/>
          <w:szCs w:val="16"/>
        </w:rPr>
        <w:t xml:space="preserve"> 10144 –10157. </w:t>
      </w:r>
      <w:r>
        <w:fldChar w:fldCharType="begin"/>
      </w:r>
      <w:r>
        <w:instrText xml:space="preserve"> HYPERLINK "http://dx.doi.org/10.1523/JNEUROSCI.1738-10.2010" \h </w:instrText>
      </w:r>
      <w:r>
        <w:fldChar w:fldCharType="separate"/>
      </w:r>
      <w:r>
        <w:rPr>
          <w:rFonts w:ascii="Times" w:hAnsi="Times" w:eastAsia="Times" w:cs="Times"/>
          <w:color w:val="00007C"/>
          <w:sz w:val="16"/>
          <w:szCs w:val="16"/>
        </w:rPr>
        <w:t>doi:10.1523/JNEUROSCI.1738-10.2010</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59" w:lineRule="auto"/>
        <w:ind w:hanging="159"/>
        <w:jc w:val="both"/>
        <w:rPr>
          <w:rFonts w:ascii="Times" w:hAnsi="Times" w:eastAsia="Times" w:cs="Times"/>
          <w:color w:val="auto"/>
          <w:sz w:val="16"/>
          <w:szCs w:val="16"/>
        </w:rPr>
      </w:pPr>
      <w:r>
        <w:rPr>
          <w:rFonts w:ascii="Times" w:hAnsi="Times" w:eastAsia="Times" w:cs="Times"/>
          <w:color w:val="auto"/>
          <w:sz w:val="16"/>
          <w:szCs w:val="16"/>
        </w:rPr>
        <w:t xml:space="preserve">Watanabe, M., &amp; Munoz, D. P. (2011). Probing basal ganglia functions by saccade eye movements. </w:t>
      </w:r>
      <w:r>
        <w:rPr>
          <w:rFonts w:ascii="Times" w:hAnsi="Times" w:eastAsia="Times" w:cs="Times"/>
          <w:i/>
          <w:iCs/>
          <w:color w:val="auto"/>
          <w:sz w:val="16"/>
          <w:szCs w:val="16"/>
        </w:rPr>
        <w:t>European Journal of Neuroscience, 33,</w:t>
      </w:r>
      <w:r>
        <w:rPr>
          <w:rFonts w:ascii="Times" w:hAnsi="Times" w:eastAsia="Times" w:cs="Times"/>
          <w:color w:val="auto"/>
          <w:sz w:val="16"/>
          <w:szCs w:val="16"/>
        </w:rPr>
        <w:t xml:space="preserve"> 2070 – 2090. </w:t>
      </w:r>
      <w:r>
        <w:fldChar w:fldCharType="begin"/>
      </w:r>
      <w:r>
        <w:instrText xml:space="preserve"> HYPERLINK "http://dx.doi.org/10.1111/j.1460-9568.2011.07691.x" \h </w:instrText>
      </w:r>
      <w:r>
        <w:fldChar w:fldCharType="separate"/>
      </w:r>
      <w:r>
        <w:rPr>
          <w:rFonts w:ascii="Times" w:hAnsi="Times" w:eastAsia="Times" w:cs="Times"/>
          <w:color w:val="00007C"/>
          <w:sz w:val="16"/>
          <w:szCs w:val="16"/>
        </w:rPr>
        <w:t>doi:10.1111/j.1460-9568.2011.07691.x</w:t>
      </w:r>
      <w:r>
        <w:rPr>
          <w:rFonts w:ascii="Times" w:hAnsi="Times" w:eastAsia="Times" w:cs="Times"/>
          <w:color w:val="00007C"/>
          <w:sz w:val="16"/>
          <w:szCs w:val="16"/>
        </w:rPr>
        <w:fldChar w:fldCharType="end"/>
      </w:r>
    </w:p>
    <w:p>
      <w:pPr>
        <w:spacing w:after="0" w:line="13" w:lineRule="exact"/>
        <w:rPr>
          <w:color w:val="auto"/>
          <w:sz w:val="20"/>
          <w:szCs w:val="20"/>
        </w:rPr>
      </w:pPr>
    </w:p>
    <w:p>
      <w:pPr>
        <w:spacing w:after="0" w:line="259" w:lineRule="auto"/>
        <w:ind w:hanging="159"/>
        <w:jc w:val="both"/>
        <w:rPr>
          <w:color w:val="auto"/>
          <w:sz w:val="20"/>
          <w:szCs w:val="20"/>
        </w:rPr>
      </w:pPr>
      <w:r>
        <w:rPr>
          <w:rFonts w:ascii="Times" w:hAnsi="Times" w:eastAsia="Times" w:cs="Times"/>
          <w:color w:val="auto"/>
          <w:sz w:val="16"/>
          <w:szCs w:val="16"/>
        </w:rPr>
        <w:t xml:space="preserve">Wegener, S. P., Johnston, K., &amp; Everling, S. (2008). Microstimulation of monkey dorsolateral prefrontal cortex impairs antisaccade perfor-mance. </w:t>
      </w:r>
      <w:r>
        <w:rPr>
          <w:rFonts w:ascii="Times" w:hAnsi="Times" w:eastAsia="Times" w:cs="Times"/>
          <w:i/>
          <w:iCs/>
          <w:color w:val="auto"/>
          <w:sz w:val="16"/>
          <w:szCs w:val="16"/>
        </w:rPr>
        <w:t>Experimental Brain Research, 190,</w:t>
      </w:r>
      <w:r>
        <w:rPr>
          <w:rFonts w:ascii="Times" w:hAnsi="Times" w:eastAsia="Times" w:cs="Times"/>
          <w:color w:val="auto"/>
          <w:sz w:val="16"/>
          <w:szCs w:val="16"/>
        </w:rPr>
        <w:t xml:space="preserve"> 463– 473.</w:t>
      </w:r>
    </w:p>
    <w:p>
      <w:pPr>
        <w:spacing w:after="0" w:line="13" w:lineRule="exact"/>
        <w:rPr>
          <w:color w:val="auto"/>
          <w:sz w:val="20"/>
          <w:szCs w:val="20"/>
        </w:rPr>
      </w:pPr>
    </w:p>
    <w:p>
      <w:pPr>
        <w:spacing w:after="0" w:line="261" w:lineRule="auto"/>
        <w:ind w:hanging="159"/>
        <w:jc w:val="both"/>
        <w:rPr>
          <w:color w:val="auto"/>
          <w:sz w:val="20"/>
          <w:szCs w:val="20"/>
        </w:rPr>
      </w:pPr>
      <w:r>
        <w:rPr>
          <w:rFonts w:ascii="Times" w:hAnsi="Times" w:eastAsia="Times" w:cs="Times"/>
          <w:color w:val="auto"/>
          <w:sz w:val="16"/>
          <w:szCs w:val="16"/>
        </w:rPr>
        <w:t xml:space="preserve">Wiecki, T., &amp; Frank, M. (2010a, November). </w:t>
      </w:r>
      <w:r>
        <w:rPr>
          <w:rFonts w:ascii="Times" w:hAnsi="Times" w:eastAsia="Times" w:cs="Times"/>
          <w:i/>
          <w:iCs/>
          <w:color w:val="auto"/>
          <w:sz w:val="16"/>
          <w:szCs w:val="16"/>
        </w:rPr>
        <w:t>Computational models of</w:t>
      </w:r>
      <w:r>
        <w:rPr>
          <w:rFonts w:ascii="Times" w:hAnsi="Times" w:eastAsia="Times" w:cs="Times"/>
          <w:color w:val="auto"/>
          <w:sz w:val="16"/>
          <w:szCs w:val="16"/>
        </w:rPr>
        <w:t xml:space="preserve"> </w:t>
      </w:r>
      <w:r>
        <w:rPr>
          <w:rFonts w:ascii="Times" w:hAnsi="Times" w:eastAsia="Times" w:cs="Times"/>
          <w:i/>
          <w:iCs/>
          <w:color w:val="auto"/>
          <w:sz w:val="16"/>
          <w:szCs w:val="16"/>
        </w:rPr>
        <w:t>response inhibition: Multiple level of analysis</w:t>
      </w:r>
      <w:r>
        <w:rPr>
          <w:rFonts w:ascii="Times" w:hAnsi="Times" w:eastAsia="Times" w:cs="Times"/>
          <w:color w:val="auto"/>
          <w:sz w:val="16"/>
          <w:szCs w:val="16"/>
        </w:rPr>
        <w:t>. Poster presented at the</w:t>
      </w:r>
      <w:r>
        <w:rPr>
          <w:rFonts w:ascii="Times" w:hAnsi="Times" w:eastAsia="Times" w:cs="Times"/>
          <w:i/>
          <w:iCs/>
          <w:color w:val="auto"/>
          <w:sz w:val="16"/>
          <w:szCs w:val="16"/>
        </w:rPr>
        <w:t xml:space="preserve"> </w:t>
      </w:r>
      <w:r>
        <w:rPr>
          <w:rFonts w:ascii="Times" w:hAnsi="Times" w:eastAsia="Times" w:cs="Times"/>
          <w:color w:val="auto"/>
          <w:sz w:val="16"/>
          <w:szCs w:val="16"/>
        </w:rPr>
        <w:t>40th annual meeting of the Society for Neuroscience, San Diego, Cali-fornia.</w:t>
      </w:r>
    </w:p>
    <w:p>
      <w:pPr>
        <w:spacing w:after="0" w:line="12" w:lineRule="exact"/>
        <w:rPr>
          <w:color w:val="auto"/>
          <w:sz w:val="20"/>
          <w:szCs w:val="20"/>
        </w:rPr>
      </w:pPr>
    </w:p>
    <w:p>
      <w:pPr>
        <w:spacing w:after="0" w:line="262" w:lineRule="auto"/>
        <w:ind w:hanging="159"/>
        <w:jc w:val="both"/>
        <w:rPr>
          <w:rFonts w:ascii="Times" w:hAnsi="Times" w:eastAsia="Times" w:cs="Times"/>
          <w:color w:val="00007C"/>
          <w:sz w:val="16"/>
          <w:szCs w:val="16"/>
        </w:rPr>
      </w:pPr>
      <w:r>
        <w:rPr>
          <w:rFonts w:ascii="Times" w:hAnsi="Times" w:eastAsia="Times" w:cs="Times"/>
          <w:color w:val="auto"/>
          <w:sz w:val="16"/>
          <w:szCs w:val="16"/>
        </w:rPr>
        <w:t xml:space="preserve">Wiecki, T., &amp; Frank, M. (2010b). Neurocomputational models of motor and cognitive deficits in Parkinson’s disease. In A. Bjorklund &amp; M. A. Cenci (Eds.), </w:t>
      </w:r>
      <w:r>
        <w:rPr>
          <w:rFonts w:ascii="Times" w:hAnsi="Times" w:eastAsia="Times" w:cs="Times"/>
          <w:i/>
          <w:iCs/>
          <w:color w:val="auto"/>
          <w:sz w:val="16"/>
          <w:szCs w:val="16"/>
        </w:rPr>
        <w:t xml:space="preserve">Progress in brain research: Recent advances in Par-kinson’s disease—Part I: Basic research </w:t>
      </w:r>
      <w:r>
        <w:rPr>
          <w:rFonts w:ascii="Times" w:hAnsi="Times" w:eastAsia="Times" w:cs="Times"/>
          <w:color w:val="auto"/>
          <w:sz w:val="16"/>
          <w:szCs w:val="16"/>
        </w:rPr>
        <w:t>(Vol. 183, pp. 275–297).</w:t>
      </w:r>
      <w:r>
        <w:rPr>
          <w:rFonts w:ascii="Times" w:hAnsi="Times" w:eastAsia="Times" w:cs="Times"/>
          <w:i/>
          <w:iCs/>
          <w:color w:val="auto"/>
          <w:sz w:val="16"/>
          <w:szCs w:val="16"/>
        </w:rPr>
        <w:t xml:space="preserve"> </w:t>
      </w:r>
      <w:r>
        <w:fldChar w:fldCharType="begin"/>
      </w:r>
      <w:r>
        <w:instrText xml:space="preserve"> HYPERLINK "http://dx.doi.org/10.1016/S0079-6123%2810%2983014-6" \h </w:instrText>
      </w:r>
      <w:r>
        <w:fldChar w:fldCharType="separate"/>
      </w:r>
      <w:r>
        <w:rPr>
          <w:rFonts w:ascii="Times" w:hAnsi="Times" w:eastAsia="Times" w:cs="Times"/>
          <w:color w:val="00007C"/>
          <w:sz w:val="16"/>
          <w:szCs w:val="16"/>
        </w:rPr>
        <w:t>doi:10.1016/S0079-6123(10)83014-6</w:t>
      </w:r>
      <w:r>
        <w:rPr>
          <w:rFonts w:ascii="Times" w:hAnsi="Times" w:eastAsia="Times" w:cs="Times"/>
          <w:color w:val="00007C"/>
          <w:sz w:val="16"/>
          <w:szCs w:val="16"/>
        </w:rPr>
        <w:fldChar w:fldCharType="end"/>
      </w:r>
    </w:p>
    <w:p>
      <w:pPr>
        <w:spacing w:after="0" w:line="25" w:lineRule="exact"/>
        <w:rPr>
          <w:color w:val="auto"/>
          <w:sz w:val="20"/>
          <w:szCs w:val="20"/>
        </w:rPr>
      </w:pPr>
    </w:p>
    <w:p>
      <w:pPr>
        <w:spacing w:after="0" w:line="262" w:lineRule="auto"/>
        <w:ind w:hanging="159"/>
        <w:jc w:val="both"/>
        <w:rPr>
          <w:rFonts w:ascii="Times" w:hAnsi="Times" w:eastAsia="Times" w:cs="Times"/>
          <w:color w:val="00007C"/>
          <w:sz w:val="16"/>
          <w:szCs w:val="16"/>
        </w:rPr>
      </w:pPr>
      <w:r>
        <w:rPr>
          <w:rFonts w:ascii="Times" w:hAnsi="Times" w:eastAsia="Times" w:cs="Times"/>
          <w:color w:val="auto"/>
          <w:sz w:val="16"/>
          <w:szCs w:val="16"/>
        </w:rPr>
        <w:t xml:space="preserve">Wylie, S. A., Ridderinkhof, K. R., Elias, W. J., Frysinger, R. C., Bashore, T. R., Downs, K. E., . . . van den Wildenberg, W. P. M. (2010). Subthalamic nucleus stimulation influences expression and suppression of impulsive behaviour in Parkinson’s disease. </w:t>
      </w:r>
      <w:r>
        <w:rPr>
          <w:rFonts w:ascii="Times" w:hAnsi="Times" w:eastAsia="Times" w:cs="Times"/>
          <w:i/>
          <w:iCs/>
          <w:color w:val="auto"/>
          <w:sz w:val="16"/>
          <w:szCs w:val="16"/>
        </w:rPr>
        <w:t>Brain, 133,</w:t>
      </w:r>
      <w:r>
        <w:rPr>
          <w:rFonts w:ascii="Times" w:hAnsi="Times" w:eastAsia="Times" w:cs="Times"/>
          <w:color w:val="auto"/>
          <w:sz w:val="16"/>
          <w:szCs w:val="16"/>
        </w:rPr>
        <w:t xml:space="preserve"> 3611–3624. </w:t>
      </w:r>
      <w:r>
        <w:fldChar w:fldCharType="begin"/>
      </w:r>
      <w:r>
        <w:instrText xml:space="preserve"> HYPERLINK "http://dx.doi.org/10.1093/brain/awq239" \h </w:instrText>
      </w:r>
      <w:r>
        <w:fldChar w:fldCharType="separate"/>
      </w:r>
      <w:r>
        <w:rPr>
          <w:rFonts w:ascii="Times" w:hAnsi="Times" w:eastAsia="Times" w:cs="Times"/>
          <w:color w:val="00007C"/>
          <w:sz w:val="16"/>
          <w:szCs w:val="16"/>
        </w:rPr>
        <w:t>doi:10.1093/brain/awq239</w:t>
      </w:r>
      <w:r>
        <w:rPr>
          <w:rFonts w:ascii="Times" w:hAnsi="Times" w:eastAsia="Times" w:cs="Times"/>
          <w:color w:val="00007C"/>
          <w:sz w:val="16"/>
          <w:szCs w:val="16"/>
        </w:rPr>
        <w:fldChar w:fldCharType="end"/>
      </w:r>
    </w:p>
    <w:p>
      <w:pPr>
        <w:spacing w:after="0" w:line="25" w:lineRule="exact"/>
        <w:rPr>
          <w:color w:val="auto"/>
          <w:sz w:val="20"/>
          <w:szCs w:val="20"/>
        </w:rPr>
      </w:pPr>
    </w:p>
    <w:p>
      <w:pPr>
        <w:spacing w:after="0" w:line="259" w:lineRule="auto"/>
        <w:ind w:hanging="159"/>
        <w:jc w:val="both"/>
        <w:rPr>
          <w:rFonts w:ascii="Times" w:hAnsi="Times" w:eastAsia="Times" w:cs="Times"/>
          <w:color w:val="auto"/>
          <w:sz w:val="16"/>
          <w:szCs w:val="16"/>
        </w:rPr>
      </w:pPr>
      <w:r>
        <w:rPr>
          <w:rFonts w:ascii="Times" w:hAnsi="Times" w:eastAsia="Times" w:cs="Times"/>
          <w:color w:val="auto"/>
          <w:sz w:val="16"/>
          <w:szCs w:val="16"/>
        </w:rPr>
        <w:t xml:space="preserve">Xue, G., Aron, A. R., &amp; Poldrack, R. A. (2008). Common neural substrates for inhibition of spoken and manual responses. </w:t>
      </w:r>
      <w:r>
        <w:rPr>
          <w:rFonts w:ascii="Times" w:hAnsi="Times" w:eastAsia="Times" w:cs="Times"/>
          <w:i/>
          <w:iCs/>
          <w:color w:val="auto"/>
          <w:sz w:val="16"/>
          <w:szCs w:val="16"/>
        </w:rPr>
        <w:t>Cerebral Cortex, 18,</w:t>
      </w:r>
      <w:r>
        <w:rPr>
          <w:rFonts w:ascii="Times" w:hAnsi="Times" w:eastAsia="Times" w:cs="Times"/>
          <w:color w:val="auto"/>
          <w:sz w:val="16"/>
          <w:szCs w:val="16"/>
        </w:rPr>
        <w:t xml:space="preserve"> 1923–1932. </w:t>
      </w:r>
      <w:r>
        <w:fldChar w:fldCharType="begin"/>
      </w:r>
      <w:r>
        <w:instrText xml:space="preserve"> HYPERLINK "http://dx.doi.org/10.1093/cercor/bhm220" \h </w:instrText>
      </w:r>
      <w:r>
        <w:fldChar w:fldCharType="separate"/>
      </w:r>
      <w:r>
        <w:rPr>
          <w:rFonts w:ascii="Times" w:hAnsi="Times" w:eastAsia="Times" w:cs="Times"/>
          <w:color w:val="00007C"/>
          <w:sz w:val="16"/>
          <w:szCs w:val="16"/>
        </w:rPr>
        <w:t>doi:10.1093/cercor/bhm220</w:t>
      </w:r>
      <w:r>
        <w:rPr>
          <w:rFonts w:ascii="Times" w:hAnsi="Times" w:eastAsia="Times" w:cs="Times"/>
          <w:color w:val="00007C"/>
          <w:sz w:val="16"/>
          <w:szCs w:val="16"/>
        </w:rPr>
        <w:fldChar w:fldCharType="end"/>
      </w:r>
    </w:p>
    <w:p>
      <w:pPr>
        <w:spacing w:after="0" w:line="27" w:lineRule="exact"/>
        <w:rPr>
          <w:color w:val="auto"/>
          <w:sz w:val="20"/>
          <w:szCs w:val="20"/>
        </w:rPr>
      </w:pPr>
    </w:p>
    <w:p>
      <w:pPr>
        <w:spacing w:after="0" w:line="259" w:lineRule="auto"/>
        <w:ind w:hanging="159"/>
        <w:jc w:val="both"/>
        <w:rPr>
          <w:rFonts w:ascii="Times" w:hAnsi="Times" w:eastAsia="Times" w:cs="Times"/>
          <w:i/>
          <w:iCs/>
          <w:color w:val="auto"/>
          <w:sz w:val="16"/>
          <w:szCs w:val="16"/>
        </w:rPr>
      </w:pPr>
      <w:r>
        <w:rPr>
          <w:rFonts w:ascii="Times" w:hAnsi="Times" w:eastAsia="Times" w:cs="Times"/>
          <w:color w:val="auto"/>
          <w:sz w:val="16"/>
          <w:szCs w:val="16"/>
        </w:rPr>
        <w:t xml:space="preserve">Yeung, N., Botvinick, M. M., &amp; Cohen, J. D. (2004). The neural basis of error detection: Conflict monitoring and the error-related negativity. </w:t>
      </w:r>
      <w:r>
        <w:rPr>
          <w:rFonts w:ascii="Times" w:hAnsi="Times" w:eastAsia="Times" w:cs="Times"/>
          <w:i/>
          <w:iCs/>
          <w:color w:val="auto"/>
          <w:sz w:val="16"/>
          <w:szCs w:val="16"/>
        </w:rPr>
        <w:t xml:space="preserve">Psychological Review, 111, </w:t>
      </w:r>
      <w:r>
        <w:rPr>
          <w:rFonts w:ascii="Times" w:hAnsi="Times" w:eastAsia="Times" w:cs="Times"/>
          <w:color w:val="auto"/>
          <w:sz w:val="16"/>
          <w:szCs w:val="16"/>
        </w:rPr>
        <w:t>931–959.</w:t>
      </w:r>
      <w:r>
        <w:rPr>
          <w:rFonts w:ascii="Times" w:hAnsi="Times" w:eastAsia="Times" w:cs="Times"/>
          <w:i/>
          <w:iCs/>
          <w:color w:val="auto"/>
          <w:sz w:val="16"/>
          <w:szCs w:val="16"/>
        </w:rPr>
        <w:t xml:space="preserve"> </w:t>
      </w:r>
      <w:r>
        <w:fldChar w:fldCharType="begin"/>
      </w:r>
      <w:r>
        <w:instrText xml:space="preserve"> HYPERLINK "http://dx.doi.org/10.1037/0033-295X.111.4.931" \h </w:instrText>
      </w:r>
      <w:r>
        <w:fldChar w:fldCharType="separate"/>
      </w:r>
      <w:r>
        <w:rPr>
          <w:rFonts w:ascii="Times" w:hAnsi="Times" w:eastAsia="Times" w:cs="Times"/>
          <w:color w:val="00007C"/>
          <w:sz w:val="16"/>
          <w:szCs w:val="16"/>
        </w:rPr>
        <w:t>doi:10.1037/0033-295X.111.4</w:t>
      </w:r>
      <w:r>
        <w:rPr>
          <w:rFonts w:ascii="Times" w:hAnsi="Times" w:eastAsia="Times" w:cs="Times"/>
          <w:color w:val="00007C"/>
          <w:sz w:val="16"/>
          <w:szCs w:val="16"/>
        </w:rPr>
        <w:fldChar w:fldCharType="end"/>
      </w:r>
    </w:p>
    <w:p>
      <w:pPr>
        <w:spacing w:after="0" w:line="5" w:lineRule="exact"/>
        <w:rPr>
          <w:color w:val="auto"/>
          <w:sz w:val="20"/>
          <w:szCs w:val="20"/>
        </w:rPr>
      </w:pPr>
    </w:p>
    <w:p>
      <w:pPr>
        <w:spacing w:after="0"/>
        <w:rPr>
          <w:rFonts w:ascii="Times" w:hAnsi="Times" w:eastAsia="Times" w:cs="Times"/>
          <w:color w:val="00007C"/>
          <w:sz w:val="16"/>
          <w:szCs w:val="16"/>
        </w:rPr>
      </w:pPr>
      <w:r>
        <w:fldChar w:fldCharType="begin"/>
      </w:r>
      <w:r>
        <w:instrText xml:space="preserve"> HYPERLINK "http://dx.doi.org/10.1037/0033-295X.111.4.931" \h </w:instrText>
      </w:r>
      <w:r>
        <w:fldChar w:fldCharType="separate"/>
      </w:r>
      <w:r>
        <w:rPr>
          <w:rFonts w:ascii="Times" w:hAnsi="Times" w:eastAsia="Times" w:cs="Times"/>
          <w:color w:val="00007C"/>
          <w:sz w:val="16"/>
          <w:szCs w:val="16"/>
        </w:rPr>
        <w:t>.931</w:t>
      </w:r>
      <w:r>
        <w:rPr>
          <w:rFonts w:ascii="Times" w:hAnsi="Times" w:eastAsia="Times" w:cs="Times"/>
          <w:color w:val="00007C"/>
          <w:sz w:val="16"/>
          <w:szCs w:val="16"/>
        </w:rPr>
        <w:fldChar w:fldCharType="end"/>
      </w:r>
    </w:p>
    <w:p>
      <w:pPr>
        <w:spacing w:after="0" w:line="41" w:lineRule="exact"/>
        <w:rPr>
          <w:color w:val="auto"/>
          <w:sz w:val="20"/>
          <w:szCs w:val="20"/>
        </w:rPr>
      </w:pPr>
    </w:p>
    <w:p>
      <w:pPr>
        <w:spacing w:after="0" w:line="259" w:lineRule="auto"/>
        <w:ind w:hanging="159"/>
        <w:jc w:val="both"/>
        <w:rPr>
          <w:color w:val="auto"/>
          <w:sz w:val="20"/>
          <w:szCs w:val="20"/>
        </w:rPr>
      </w:pPr>
      <w:r>
        <w:rPr>
          <w:rFonts w:ascii="Times" w:hAnsi="Times" w:eastAsia="Times" w:cs="Times"/>
          <w:color w:val="auto"/>
          <w:sz w:val="16"/>
          <w:szCs w:val="16"/>
        </w:rPr>
        <w:t xml:space="preserve">Yeung, N., &amp; Cohen, J. D. (2006). The impact of cognitive deficits on conflict monitoring: Predictable dissociations between the error-related negativity and N2. </w:t>
      </w:r>
      <w:r>
        <w:rPr>
          <w:rFonts w:ascii="Times" w:hAnsi="Times" w:eastAsia="Times" w:cs="Times"/>
          <w:i/>
          <w:iCs/>
          <w:color w:val="auto"/>
          <w:sz w:val="16"/>
          <w:szCs w:val="16"/>
        </w:rPr>
        <w:t>Psychological Science, 17,</w:t>
      </w:r>
      <w:r>
        <w:rPr>
          <w:rFonts w:ascii="Times" w:hAnsi="Times" w:eastAsia="Times" w:cs="Times"/>
          <w:color w:val="auto"/>
          <w:sz w:val="16"/>
          <w:szCs w:val="16"/>
        </w:rPr>
        <w:t xml:space="preserve"> 164 –171.</w:t>
      </w:r>
    </w:p>
    <w:p>
      <w:pPr>
        <w:spacing w:after="0" w:line="27" w:lineRule="exact"/>
        <w:rPr>
          <w:color w:val="auto"/>
          <w:sz w:val="20"/>
          <w:szCs w:val="20"/>
        </w:rPr>
      </w:pPr>
    </w:p>
    <w:p>
      <w:pPr>
        <w:spacing w:after="0" w:line="260" w:lineRule="auto"/>
        <w:ind w:hanging="159"/>
        <w:jc w:val="both"/>
        <w:rPr>
          <w:rFonts w:ascii="Times" w:hAnsi="Times" w:eastAsia="Times" w:cs="Times"/>
          <w:i/>
          <w:iCs/>
          <w:color w:val="auto"/>
          <w:sz w:val="16"/>
          <w:szCs w:val="16"/>
        </w:rPr>
      </w:pPr>
      <w:r>
        <w:rPr>
          <w:rFonts w:ascii="Times" w:hAnsi="Times" w:eastAsia="Times" w:cs="Times"/>
          <w:color w:val="auto"/>
          <w:sz w:val="16"/>
          <w:szCs w:val="16"/>
        </w:rPr>
        <w:t xml:space="preserve">Zaghloul, K. A., Weidemann, C. T., Lega, B. C., Jaggi, J. L., Baltuch, G. H., &amp; Kahana, M. J. (2012). Neuronal activity in the human subtha-lamic nucleus encodes decision conflict during action selection. </w:t>
      </w:r>
      <w:r>
        <w:rPr>
          <w:rFonts w:ascii="Times" w:hAnsi="Times" w:eastAsia="Times" w:cs="Times"/>
          <w:i/>
          <w:iCs/>
          <w:color w:val="auto"/>
          <w:sz w:val="16"/>
          <w:szCs w:val="16"/>
        </w:rPr>
        <w:t>The</w:t>
      </w:r>
      <w:r>
        <w:rPr>
          <w:rFonts w:ascii="Times" w:hAnsi="Times" w:eastAsia="Times" w:cs="Times"/>
          <w:color w:val="auto"/>
          <w:sz w:val="16"/>
          <w:szCs w:val="16"/>
        </w:rPr>
        <w:t xml:space="preserve"> </w:t>
      </w:r>
      <w:r>
        <w:rPr>
          <w:rFonts w:ascii="Times" w:hAnsi="Times" w:eastAsia="Times" w:cs="Times"/>
          <w:i/>
          <w:iCs/>
          <w:color w:val="auto"/>
          <w:sz w:val="16"/>
          <w:szCs w:val="16"/>
        </w:rPr>
        <w:t xml:space="preserve">Journal of Neuroscience, 32, </w:t>
      </w:r>
      <w:r>
        <w:rPr>
          <w:rFonts w:ascii="Times" w:hAnsi="Times" w:eastAsia="Times" w:cs="Times"/>
          <w:color w:val="auto"/>
          <w:sz w:val="16"/>
          <w:szCs w:val="16"/>
        </w:rPr>
        <w:t>2453–2460.</w:t>
      </w:r>
      <w:r>
        <w:rPr>
          <w:rFonts w:ascii="Times" w:hAnsi="Times" w:eastAsia="Times" w:cs="Times"/>
          <w:i/>
          <w:iCs/>
          <w:color w:val="auto"/>
          <w:sz w:val="16"/>
          <w:szCs w:val="16"/>
        </w:rPr>
        <w:t xml:space="preserve"> </w:t>
      </w:r>
      <w:r>
        <w:fldChar w:fldCharType="begin"/>
      </w:r>
      <w:r>
        <w:instrText xml:space="preserve"> HYPERLINK "http://dx.doi.org/10.1523/JNEUROSCI.5815-11.2012" \h </w:instrText>
      </w:r>
      <w:r>
        <w:fldChar w:fldCharType="separate"/>
      </w:r>
      <w:r>
        <w:rPr>
          <w:rFonts w:ascii="Times" w:hAnsi="Times" w:eastAsia="Times" w:cs="Times"/>
          <w:color w:val="00007C"/>
          <w:sz w:val="16"/>
          <w:szCs w:val="16"/>
        </w:rPr>
        <w:t>doi:10.1523/JNEUROSCI</w:t>
      </w:r>
      <w:r>
        <w:rPr>
          <w:rFonts w:ascii="Times" w:hAnsi="Times" w:eastAsia="Times" w:cs="Times"/>
          <w:color w:val="00007C"/>
          <w:sz w:val="16"/>
          <w:szCs w:val="16"/>
        </w:rPr>
        <w:fldChar w:fldCharType="end"/>
      </w:r>
    </w:p>
    <w:p>
      <w:pPr>
        <w:spacing w:after="0" w:line="5" w:lineRule="exact"/>
        <w:rPr>
          <w:color w:val="auto"/>
          <w:sz w:val="20"/>
          <w:szCs w:val="20"/>
        </w:rPr>
      </w:pPr>
    </w:p>
    <w:p>
      <w:pPr>
        <w:spacing w:after="0"/>
        <w:rPr>
          <w:rFonts w:ascii="Times" w:hAnsi="Times" w:eastAsia="Times" w:cs="Times"/>
          <w:color w:val="00007C"/>
          <w:sz w:val="16"/>
          <w:szCs w:val="16"/>
        </w:rPr>
      </w:pPr>
      <w:r>
        <w:fldChar w:fldCharType="begin"/>
      </w:r>
      <w:r>
        <w:instrText xml:space="preserve"> HYPERLINK "http://dx.doi.org/10.1523/JNEUROSCI.5815-11.2012" \h </w:instrText>
      </w:r>
      <w:r>
        <w:fldChar w:fldCharType="separate"/>
      </w:r>
      <w:r>
        <w:rPr>
          <w:rFonts w:ascii="Times" w:hAnsi="Times" w:eastAsia="Times" w:cs="Times"/>
          <w:color w:val="00007C"/>
          <w:sz w:val="16"/>
          <w:szCs w:val="16"/>
        </w:rPr>
        <w:t>.5815-11.2012</w:t>
      </w:r>
      <w:r>
        <w:rPr>
          <w:rFonts w:ascii="Times" w:hAnsi="Times" w:eastAsia="Times" w:cs="Times"/>
          <w:color w:val="00007C"/>
          <w:sz w:val="16"/>
          <w:szCs w:val="16"/>
        </w:rPr>
        <w:fldChar w:fldCharType="end"/>
      </w:r>
    </w:p>
    <w:p>
      <w:pPr>
        <w:spacing w:after="0" w:line="41" w:lineRule="exact"/>
        <w:rPr>
          <w:color w:val="auto"/>
          <w:sz w:val="20"/>
          <w:szCs w:val="20"/>
        </w:rPr>
      </w:pPr>
    </w:p>
    <w:p>
      <w:pPr>
        <w:spacing w:after="0" w:line="282" w:lineRule="auto"/>
        <w:ind w:hanging="159"/>
        <w:jc w:val="both"/>
        <w:rPr>
          <w:rFonts w:ascii="Times" w:hAnsi="Times" w:eastAsia="Times" w:cs="Times"/>
          <w:color w:val="auto"/>
          <w:sz w:val="15"/>
          <w:szCs w:val="15"/>
        </w:rPr>
      </w:pPr>
      <w:r>
        <w:rPr>
          <w:rFonts w:ascii="Times" w:hAnsi="Times" w:eastAsia="Times" w:cs="Times"/>
          <w:color w:val="auto"/>
          <w:sz w:val="15"/>
          <w:szCs w:val="15"/>
        </w:rPr>
        <w:t xml:space="preserve">Zandbelt, B. B., &amp; Vink, M. (2010). On the role of the striatum in response inhibition. </w:t>
      </w:r>
      <w:r>
        <w:rPr>
          <w:rFonts w:ascii="Times" w:hAnsi="Times" w:eastAsia="Times" w:cs="Times"/>
          <w:i/>
          <w:iCs/>
          <w:color w:val="auto"/>
          <w:sz w:val="15"/>
          <w:szCs w:val="15"/>
        </w:rPr>
        <w:t>PLoS ONE, 5</w:t>
      </w:r>
      <w:r>
        <w:rPr>
          <w:rFonts w:ascii="Times" w:hAnsi="Times" w:eastAsia="Times" w:cs="Times"/>
          <w:color w:val="auto"/>
          <w:sz w:val="15"/>
          <w:szCs w:val="15"/>
        </w:rPr>
        <w:t xml:space="preserve">(11), e13848. </w:t>
      </w:r>
      <w:r>
        <w:fldChar w:fldCharType="begin"/>
      </w:r>
      <w:r>
        <w:instrText xml:space="preserve"> HYPERLINK "http://dx.doi.org/10.1371/journal.pone.0013848" \h </w:instrText>
      </w:r>
      <w:r>
        <w:fldChar w:fldCharType="separate"/>
      </w:r>
      <w:r>
        <w:rPr>
          <w:rFonts w:ascii="Times" w:hAnsi="Times" w:eastAsia="Times" w:cs="Times"/>
          <w:color w:val="00007C"/>
          <w:sz w:val="15"/>
          <w:szCs w:val="15"/>
        </w:rPr>
        <w:t>doi:10.1371/journal.pone</w:t>
      </w:r>
      <w:r>
        <w:rPr>
          <w:rFonts w:ascii="Times" w:hAnsi="Times" w:eastAsia="Times" w:cs="Times"/>
          <w:color w:val="00007C"/>
          <w:sz w:val="15"/>
          <w:szCs w:val="15"/>
        </w:rPr>
        <w:fldChar w:fldCharType="end"/>
      </w:r>
    </w:p>
    <w:p>
      <w:pPr>
        <w:numPr>
          <w:ilvl w:val="0"/>
          <w:numId w:val="0"/>
        </w:numPr>
        <w:ind w:firstLine="420" w:firstLineChars="200"/>
        <w:rPr>
          <w:rFonts w:hint="eastAsia" w:ascii="Times" w:hAnsi="Times" w:eastAsia="Times" w:cs="Times"/>
          <w:color w:val="auto"/>
          <w:sz w:val="16"/>
          <w:szCs w:val="16"/>
          <w:lang w:val="en-US" w:eastAsia="zh-CN"/>
        </w:rPr>
      </w:pPr>
      <w:r>
        <w:fldChar w:fldCharType="begin"/>
      </w:r>
      <w:r>
        <w:instrText xml:space="preserve"> HYPERLINK "http://dx.doi.org/10.1371/journal.pone.0013848" \h </w:instrText>
      </w:r>
      <w:r>
        <w:fldChar w:fldCharType="separate"/>
      </w:r>
      <w:r>
        <w:rPr>
          <w:rFonts w:ascii="Times" w:hAnsi="Times" w:eastAsia="Times" w:cs="Times"/>
          <w:color w:val="00007C"/>
          <w:sz w:val="16"/>
          <w:szCs w:val="16"/>
        </w:rPr>
        <w:t>.0013848</w:t>
      </w:r>
      <w:r>
        <w:rPr>
          <w:rFonts w:ascii="Times" w:hAnsi="Times" w:eastAsia="Times" w:cs="Times"/>
          <w:color w:val="00007C"/>
          <w:sz w:val="16"/>
          <w:szCs w:val="16"/>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imes">
    <w:altName w:val="Times New Roman"/>
    <w:panose1 w:val="02020603050405020304"/>
    <w:charset w:val="00"/>
    <w:family w:val="roman"/>
    <w:pitch w:val="default"/>
    <w:sig w:usb0="00000000" w:usb1="00000000"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B22243"/>
    <w:multiLevelType w:val="singleLevel"/>
    <w:tmpl w:val="D3B22243"/>
    <w:lvl w:ilvl="0" w:tentative="0">
      <w:start w:val="1"/>
      <w:numFmt w:val="decimal"/>
      <w:lvlText w:val="%1."/>
      <w:lvlJc w:val="left"/>
      <w:pPr>
        <w:tabs>
          <w:tab w:val="left" w:pos="312"/>
        </w:tabs>
      </w:pPr>
    </w:lvl>
  </w:abstractNum>
  <w:abstractNum w:abstractNumId="1">
    <w:nsid w:val="0000030A"/>
    <w:multiLevelType w:val="singleLevel"/>
    <w:tmpl w:val="0000030A"/>
    <w:lvl w:ilvl="0" w:tentative="0">
      <w:start w:val="272"/>
      <w:numFmt w:val="decimal"/>
      <w:lvlText w:val="%1."/>
      <w:lvlJc w:val="left"/>
    </w:lvl>
  </w:abstractNum>
  <w:abstractNum w:abstractNumId="2">
    <w:nsid w:val="00000732"/>
    <w:multiLevelType w:val="singleLevel"/>
    <w:tmpl w:val="00000732"/>
    <w:lvl w:ilvl="0" w:tentative="0">
      <w:start w:val="860"/>
      <w:numFmt w:val="decimal"/>
      <w:lvlText w:val="%1."/>
      <w:lvlJc w:val="left"/>
    </w:lvl>
  </w:abstractNum>
  <w:abstractNum w:abstractNumId="3">
    <w:nsid w:val="00000BDB"/>
    <w:multiLevelType w:val="singleLevel"/>
    <w:tmpl w:val="00000BDB"/>
    <w:lvl w:ilvl="0" w:tentative="0">
      <w:start w:val="821"/>
      <w:numFmt w:val="decimal"/>
      <w:lvlText w:val="%1."/>
      <w:lvlJc w:val="left"/>
    </w:lvl>
  </w:abstractNum>
  <w:abstractNum w:abstractNumId="4">
    <w:nsid w:val="00002213"/>
    <w:multiLevelType w:val="singleLevel"/>
    <w:tmpl w:val="00002213"/>
    <w:lvl w:ilvl="0" w:tentative="0">
      <w:start w:val="35"/>
      <w:numFmt w:val="upperLetter"/>
      <w:lvlText w:val="%1."/>
      <w:lvlJc w:val="left"/>
    </w:lvl>
  </w:abstractNum>
  <w:abstractNum w:abstractNumId="5">
    <w:nsid w:val="0000260D"/>
    <w:multiLevelType w:val="singleLevel"/>
    <w:tmpl w:val="0000260D"/>
    <w:lvl w:ilvl="0" w:tentative="0">
      <w:start w:val="327"/>
      <w:numFmt w:val="decimal"/>
      <w:lvlText w:val="%1."/>
      <w:lvlJc w:val="left"/>
    </w:lvl>
  </w:abstractNum>
  <w:abstractNum w:abstractNumId="6">
    <w:nsid w:val="0000301C"/>
    <w:multiLevelType w:val="singleLevel"/>
    <w:tmpl w:val="0000301C"/>
    <w:lvl w:ilvl="0" w:tentative="0">
      <w:start w:val="1"/>
      <w:numFmt w:val="bullet"/>
      <w:lvlText w:val="&amp;"/>
      <w:lvlJc w:val="left"/>
    </w:lvl>
  </w:abstractNum>
  <w:abstractNum w:abstractNumId="7">
    <w:nsid w:val="0000323B"/>
    <w:multiLevelType w:val="singleLevel"/>
    <w:tmpl w:val="0000323B"/>
    <w:lvl w:ilvl="0" w:tentative="0">
      <w:start w:val="1"/>
      <w:numFmt w:val="bullet"/>
      <w:lvlText w:val="&amp;"/>
      <w:lvlJc w:val="left"/>
    </w:lvl>
  </w:abstractNum>
  <w:abstractNum w:abstractNumId="8">
    <w:nsid w:val="00004E45"/>
    <w:multiLevelType w:val="singleLevel"/>
    <w:tmpl w:val="00004E45"/>
    <w:lvl w:ilvl="0" w:tentative="0">
      <w:start w:val="423"/>
      <w:numFmt w:val="decimal"/>
      <w:lvlText w:val="%1."/>
      <w:lvlJc w:val="left"/>
    </w:lvl>
  </w:abstractNum>
  <w:abstractNum w:abstractNumId="9">
    <w:nsid w:val="000056AE"/>
    <w:multiLevelType w:val="singleLevel"/>
    <w:tmpl w:val="000056AE"/>
    <w:lvl w:ilvl="0" w:tentative="0">
      <w:start w:val="931"/>
      <w:numFmt w:val="decimal"/>
      <w:lvlText w:val="%1."/>
      <w:lvlJc w:val="left"/>
    </w:lvl>
  </w:abstractNum>
  <w:abstractNum w:abstractNumId="10">
    <w:nsid w:val="00006B89"/>
    <w:multiLevelType w:val="singleLevel"/>
    <w:tmpl w:val="00006B89"/>
    <w:lvl w:ilvl="0" w:tentative="0">
      <w:start w:val="1"/>
      <w:numFmt w:val="bullet"/>
      <w:lvlText w:val="&amp;"/>
      <w:lvlJc w:val="left"/>
    </w:lvl>
  </w:abstractNum>
  <w:abstractNum w:abstractNumId="11">
    <w:nsid w:val="00007F96"/>
    <w:multiLevelType w:val="singleLevel"/>
    <w:tmpl w:val="00007F96"/>
    <w:lvl w:ilvl="0" w:tentative="0">
      <w:start w:val="1"/>
      <w:numFmt w:val="bullet"/>
      <w:lvlText w:val="&amp;"/>
      <w:lvlJc w:val="left"/>
    </w:lvl>
  </w:abstractNum>
  <w:abstractNum w:abstractNumId="12">
    <w:nsid w:val="00007FF5"/>
    <w:multiLevelType w:val="singleLevel"/>
    <w:tmpl w:val="00007FF5"/>
    <w:lvl w:ilvl="0" w:tentative="0">
      <w:start w:val="1"/>
      <w:numFmt w:val="bullet"/>
      <w:lvlText w:val="&amp;"/>
      <w:lvlJc w:val="left"/>
    </w:lvl>
  </w:abstractNum>
  <w:abstractNum w:abstractNumId="13">
    <w:nsid w:val="48466F92"/>
    <w:multiLevelType w:val="singleLevel"/>
    <w:tmpl w:val="48466F92"/>
    <w:lvl w:ilvl="0" w:tentative="0">
      <w:start w:val="1"/>
      <w:numFmt w:val="lowerLetter"/>
      <w:suff w:val="nothing"/>
      <w:lvlText w:val="（%1）"/>
      <w:lvlJc w:val="left"/>
    </w:lvl>
  </w:abstractNum>
  <w:num w:numId="1">
    <w:abstractNumId w:val="13"/>
  </w:num>
  <w:num w:numId="2">
    <w:abstractNumId w:val="0"/>
  </w:num>
  <w:num w:numId="3">
    <w:abstractNumId w:val="11"/>
  </w:num>
  <w:num w:numId="4">
    <w:abstractNumId w:val="12"/>
  </w:num>
  <w:num w:numId="5">
    <w:abstractNumId w:val="8"/>
  </w:num>
  <w:num w:numId="6">
    <w:abstractNumId w:val="7"/>
  </w:num>
  <w:num w:numId="7">
    <w:abstractNumId w:val="4"/>
  </w:num>
  <w:num w:numId="8">
    <w:abstractNumId w:val="5"/>
  </w:num>
  <w:num w:numId="9">
    <w:abstractNumId w:val="10"/>
  </w:num>
  <w:num w:numId="10">
    <w:abstractNumId w:val="1"/>
  </w:num>
  <w:num w:numId="11">
    <w:abstractNumId w:val="6"/>
  </w:num>
  <w:num w:numId="12">
    <w:abstractNumId w:val="3"/>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2306AD"/>
    <w:rsid w:val="02315312"/>
    <w:rsid w:val="06E059A9"/>
    <w:rsid w:val="08623F32"/>
    <w:rsid w:val="0DB80F6B"/>
    <w:rsid w:val="10540451"/>
    <w:rsid w:val="130623C1"/>
    <w:rsid w:val="14A57F65"/>
    <w:rsid w:val="163F1744"/>
    <w:rsid w:val="16580A28"/>
    <w:rsid w:val="16D52B45"/>
    <w:rsid w:val="175618E2"/>
    <w:rsid w:val="177340F5"/>
    <w:rsid w:val="177A5BEB"/>
    <w:rsid w:val="1C9921D7"/>
    <w:rsid w:val="1E42417B"/>
    <w:rsid w:val="203A7AB7"/>
    <w:rsid w:val="20D53989"/>
    <w:rsid w:val="20D82C64"/>
    <w:rsid w:val="211627E6"/>
    <w:rsid w:val="24C9671B"/>
    <w:rsid w:val="25DA10D2"/>
    <w:rsid w:val="28236A58"/>
    <w:rsid w:val="2A83751A"/>
    <w:rsid w:val="2B3A53DB"/>
    <w:rsid w:val="2DD603FF"/>
    <w:rsid w:val="2F6D26BE"/>
    <w:rsid w:val="30620B77"/>
    <w:rsid w:val="37BC3E7A"/>
    <w:rsid w:val="37E37464"/>
    <w:rsid w:val="3A3C45ED"/>
    <w:rsid w:val="3D340744"/>
    <w:rsid w:val="3D83227B"/>
    <w:rsid w:val="3DAC1245"/>
    <w:rsid w:val="3E143904"/>
    <w:rsid w:val="3E982D97"/>
    <w:rsid w:val="3FEA5D2B"/>
    <w:rsid w:val="412E7518"/>
    <w:rsid w:val="41342D9F"/>
    <w:rsid w:val="41386DFC"/>
    <w:rsid w:val="4A7366A3"/>
    <w:rsid w:val="4C6962A2"/>
    <w:rsid w:val="4CC839BA"/>
    <w:rsid w:val="525E5014"/>
    <w:rsid w:val="54355925"/>
    <w:rsid w:val="554057C2"/>
    <w:rsid w:val="5564254A"/>
    <w:rsid w:val="5A1E5FCA"/>
    <w:rsid w:val="60333BB7"/>
    <w:rsid w:val="61BC0126"/>
    <w:rsid w:val="643307D8"/>
    <w:rsid w:val="65265D2E"/>
    <w:rsid w:val="67E81236"/>
    <w:rsid w:val="68676BA7"/>
    <w:rsid w:val="68FA5759"/>
    <w:rsid w:val="6A3B1FAB"/>
    <w:rsid w:val="6ADB3107"/>
    <w:rsid w:val="6AFE4E54"/>
    <w:rsid w:val="6B1A7124"/>
    <w:rsid w:val="6D9D39B3"/>
    <w:rsid w:val="6F6D3F2B"/>
    <w:rsid w:val="708856BB"/>
    <w:rsid w:val="721C6C51"/>
    <w:rsid w:val="7CAC0CDC"/>
    <w:rsid w:val="7D0904B8"/>
    <w:rsid w:val="7DE827F4"/>
    <w:rsid w:val="7E017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Calibri" w:hAnsi="Calibri" w:eastAsia="黑体"/>
      <w:b/>
      <w:kern w:val="44"/>
      <w:sz w:val="36"/>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character" w:styleId="5">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3</TotalTime>
  <ScaleCrop>false</ScaleCrop>
  <LinksUpToDate>false</LinksUpToDate>
  <CharactersWithSpaces>0</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2019-02-23T11:40:12Z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y fmtid="{D5CDD505-2E9C-101B-9397-08002B2CF9AE}" pid="3" name="KSORubyTemplateID" linkTarget="0">
    <vt:lpwstr>6</vt:lpwstr>
  </property>
</Properties>
</file>